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423E0" w14:textId="4017D595" w:rsidR="00457035" w:rsidRDefault="0044326A" w:rsidP="00457035">
      <w:pPr>
        <w:spacing w:after="0" w:line="240" w:lineRule="auto"/>
        <w:rPr>
          <w:rFonts w:ascii="Times New Roman" w:eastAsia="Times New Roman" w:hAnsi="Times New Roman" w:cs="Times New Roman"/>
          <w:b/>
          <w:bCs/>
          <w:sz w:val="28"/>
          <w:szCs w:val="28"/>
          <w:lang w:val="id-ID"/>
        </w:rPr>
      </w:pPr>
      <w:r w:rsidRPr="0044326A">
        <w:rPr>
          <w:rFonts w:ascii="Times New Roman" w:eastAsia="Times New Roman" w:hAnsi="Times New Roman" w:cs="Times New Roman"/>
          <w:b/>
          <w:bCs/>
          <w:sz w:val="28"/>
          <w:szCs w:val="28"/>
          <w:lang w:val="id-ID"/>
        </w:rPr>
        <w:t>Persepsi Masyarakat terhadap Kualitas Layanan Bank Syariah: Studi Kasus di Kota Bandung</w:t>
      </w:r>
    </w:p>
    <w:p w14:paraId="6D699DA7" w14:textId="77777777" w:rsidR="0044326A" w:rsidRPr="00457035" w:rsidRDefault="0044326A" w:rsidP="00457035">
      <w:pPr>
        <w:spacing w:after="0" w:line="240" w:lineRule="auto"/>
        <w:rPr>
          <w:rFonts w:ascii="Times New Roman" w:eastAsia="Calibri" w:hAnsi="Times New Roman" w:cs="Times New Roman"/>
          <w:b/>
          <w:bCs/>
          <w:lang w:val="en-US"/>
        </w:rPr>
      </w:pPr>
    </w:p>
    <w:p w14:paraId="37A0F70E" w14:textId="413EC900" w:rsidR="00457035" w:rsidRPr="00457035" w:rsidRDefault="0044326A" w:rsidP="00457035">
      <w:pPr>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Adhi Nugraha</w:t>
      </w:r>
      <w:r w:rsidR="00457035" w:rsidRPr="005B571C">
        <w:rPr>
          <w:rFonts w:ascii="Times New Roman" w:eastAsia="Calibri" w:hAnsi="Times New Roman" w:cs="Times New Roman"/>
          <w:b/>
          <w:bCs/>
          <w:vertAlign w:val="superscript"/>
          <w:lang w:val="id-ID"/>
        </w:rPr>
        <w:t>1</w:t>
      </w:r>
      <w:r w:rsidR="00457035" w:rsidRPr="00457035">
        <w:rPr>
          <w:rFonts w:ascii="Times New Roman" w:eastAsia="Calibri" w:hAnsi="Times New Roman" w:cs="Times New Roman"/>
          <w:b/>
          <w:bCs/>
          <w:lang w:val="id-ID"/>
        </w:rPr>
        <w:t xml:space="preserve">, </w:t>
      </w:r>
      <w:proofErr w:type="spellStart"/>
      <w:r>
        <w:rPr>
          <w:rFonts w:ascii="Times New Roman" w:eastAsia="Calibri" w:hAnsi="Times New Roman" w:cs="Times New Roman"/>
          <w:b/>
          <w:bCs/>
          <w:lang w:val="en-US"/>
        </w:rPr>
        <w:t>Laili</w:t>
      </w:r>
      <w:proofErr w:type="spellEnd"/>
      <w:r>
        <w:rPr>
          <w:rFonts w:ascii="Times New Roman" w:eastAsia="Calibri" w:hAnsi="Times New Roman" w:cs="Times New Roman"/>
          <w:b/>
          <w:bCs/>
          <w:lang w:val="en-US"/>
        </w:rPr>
        <w:t xml:space="preserve"> </w:t>
      </w:r>
      <w:proofErr w:type="spellStart"/>
      <w:r>
        <w:rPr>
          <w:rFonts w:ascii="Times New Roman" w:eastAsia="Calibri" w:hAnsi="Times New Roman" w:cs="Times New Roman"/>
          <w:b/>
          <w:bCs/>
          <w:lang w:val="en-US"/>
        </w:rPr>
        <w:t>Rahmawati</w:t>
      </w:r>
      <w:proofErr w:type="spellEnd"/>
      <w:r w:rsidR="00457035" w:rsidRPr="005B571C">
        <w:rPr>
          <w:rFonts w:ascii="Times New Roman" w:eastAsia="Calibri" w:hAnsi="Times New Roman" w:cs="Times New Roman"/>
          <w:b/>
          <w:bCs/>
          <w:vertAlign w:val="superscript"/>
          <w:lang w:val="id-ID"/>
        </w:rPr>
        <w:t>2</w:t>
      </w:r>
      <w:r w:rsidR="00457035" w:rsidRPr="00457035">
        <w:rPr>
          <w:rFonts w:ascii="Times New Roman" w:eastAsia="Calibri" w:hAnsi="Times New Roman" w:cs="Times New Roman"/>
          <w:b/>
          <w:bCs/>
          <w:lang w:val="id-ID"/>
        </w:rPr>
        <w:t xml:space="preserve">, </w:t>
      </w:r>
      <w:r>
        <w:rPr>
          <w:rFonts w:ascii="Times New Roman" w:eastAsia="Calibri" w:hAnsi="Times New Roman" w:cs="Times New Roman"/>
          <w:b/>
          <w:bCs/>
          <w:lang w:val="en-US"/>
        </w:rPr>
        <w:t xml:space="preserve">Yana Achmad </w:t>
      </w:r>
      <w:proofErr w:type="spellStart"/>
      <w:r>
        <w:rPr>
          <w:rFonts w:ascii="Times New Roman" w:eastAsia="Calibri" w:hAnsi="Times New Roman" w:cs="Times New Roman"/>
          <w:b/>
          <w:bCs/>
          <w:lang w:val="en-US"/>
        </w:rPr>
        <w:t>Supriatna</w:t>
      </w:r>
      <w:proofErr w:type="spellEnd"/>
      <w:r w:rsidR="00457035" w:rsidRPr="005B571C">
        <w:rPr>
          <w:rFonts w:ascii="Times New Roman" w:eastAsia="Calibri" w:hAnsi="Times New Roman" w:cs="Times New Roman"/>
          <w:b/>
          <w:bCs/>
          <w:vertAlign w:val="superscript"/>
          <w:lang w:val="id-ID"/>
        </w:rPr>
        <w:t>3</w:t>
      </w:r>
    </w:p>
    <w:p w14:paraId="3532B425" w14:textId="20EA447F" w:rsidR="00457035" w:rsidRPr="0044326A" w:rsidRDefault="00457035" w:rsidP="00457035">
      <w:pPr>
        <w:spacing w:after="0" w:line="240" w:lineRule="auto"/>
        <w:rPr>
          <w:rFonts w:ascii="Times New Roman" w:eastAsia="Calibri" w:hAnsi="Times New Roman" w:cs="Times New Roman"/>
          <w:sz w:val="18"/>
          <w:szCs w:val="18"/>
          <w:lang w:val="en-US"/>
        </w:rPr>
      </w:pPr>
      <w:r w:rsidRPr="00457035">
        <w:rPr>
          <w:rFonts w:ascii="Times New Roman" w:eastAsia="Calibri" w:hAnsi="Times New Roman" w:cs="Times New Roman"/>
          <w:sz w:val="18"/>
          <w:szCs w:val="18"/>
          <w:vertAlign w:val="superscript"/>
          <w:lang w:val="id-ID"/>
        </w:rPr>
        <w:t>1</w:t>
      </w:r>
      <w:r w:rsidR="0044326A">
        <w:rPr>
          <w:rFonts w:ascii="Times New Roman" w:eastAsia="Calibri" w:hAnsi="Times New Roman" w:cs="Times New Roman"/>
          <w:sz w:val="18"/>
          <w:szCs w:val="18"/>
          <w:lang w:val="en-US"/>
        </w:rPr>
        <w:t>Sekolah Tinggi Islam Ekonomi dan Bisnis Islam Al Jabar Bandung</w:t>
      </w:r>
    </w:p>
    <w:p w14:paraId="34F7FB8B" w14:textId="4DA39788" w:rsidR="0044326A" w:rsidRDefault="0044326A" w:rsidP="0044326A">
      <w:pPr>
        <w:spacing w:after="0" w:line="240" w:lineRule="auto"/>
        <w:rPr>
          <w:rFonts w:ascii="Times New Roman" w:eastAsia="Calibri" w:hAnsi="Times New Roman" w:cs="Times New Roman"/>
          <w:sz w:val="18"/>
          <w:szCs w:val="18"/>
          <w:lang w:val="en-US"/>
        </w:rPr>
      </w:pPr>
      <w:r>
        <w:rPr>
          <w:rFonts w:ascii="Times New Roman" w:eastAsia="Calibri" w:hAnsi="Times New Roman" w:cs="Times New Roman"/>
          <w:sz w:val="18"/>
          <w:szCs w:val="18"/>
          <w:vertAlign w:val="superscript"/>
          <w:lang w:val="en-US"/>
        </w:rPr>
        <w:t>2</w:t>
      </w:r>
      <w:r>
        <w:rPr>
          <w:rFonts w:ascii="Times New Roman" w:eastAsia="Calibri" w:hAnsi="Times New Roman" w:cs="Times New Roman"/>
          <w:sz w:val="18"/>
          <w:szCs w:val="18"/>
          <w:lang w:val="en-US"/>
        </w:rPr>
        <w:t>Sekolah Tinggi Islam Ekonomi dan Bisnis Islam Al Jabar Bandung</w:t>
      </w:r>
    </w:p>
    <w:p w14:paraId="464251F6" w14:textId="26DAE79C" w:rsidR="0044326A" w:rsidRPr="0044326A" w:rsidRDefault="0044326A" w:rsidP="0044326A">
      <w:pPr>
        <w:spacing w:after="0" w:line="240" w:lineRule="auto"/>
        <w:rPr>
          <w:rFonts w:ascii="Times New Roman" w:eastAsia="Calibri" w:hAnsi="Times New Roman" w:cs="Times New Roman"/>
          <w:sz w:val="18"/>
          <w:szCs w:val="18"/>
          <w:lang w:val="en-US"/>
        </w:rPr>
      </w:pPr>
      <w:r>
        <w:rPr>
          <w:rFonts w:ascii="Times New Roman" w:eastAsia="Calibri" w:hAnsi="Times New Roman" w:cs="Times New Roman"/>
          <w:sz w:val="18"/>
          <w:szCs w:val="18"/>
          <w:vertAlign w:val="superscript"/>
          <w:lang w:val="en-US"/>
        </w:rPr>
        <w:t>3</w:t>
      </w:r>
      <w:r>
        <w:rPr>
          <w:rFonts w:ascii="Times New Roman" w:eastAsia="Calibri" w:hAnsi="Times New Roman" w:cs="Times New Roman"/>
          <w:sz w:val="18"/>
          <w:szCs w:val="18"/>
          <w:lang w:val="en-US"/>
        </w:rPr>
        <w:t>Sekolah Tinggi Islam Ekonomi dan Bisnis Islam Al Jabar Bandung</w:t>
      </w:r>
    </w:p>
    <w:p w14:paraId="654940A8" w14:textId="77777777" w:rsidR="0044326A" w:rsidRPr="0044326A" w:rsidRDefault="0044326A" w:rsidP="0044326A">
      <w:pPr>
        <w:spacing w:after="0" w:line="240" w:lineRule="auto"/>
        <w:rPr>
          <w:rFonts w:ascii="Times New Roman" w:eastAsia="Calibri" w:hAnsi="Times New Roman" w:cs="Times New Roman"/>
          <w:sz w:val="18"/>
          <w:szCs w:val="18"/>
          <w:lang w:val="en-US"/>
        </w:rPr>
      </w:pPr>
    </w:p>
    <w:p w14:paraId="2AAE69E2" w14:textId="4800D85C" w:rsidR="00457035" w:rsidRPr="00A73A3B" w:rsidRDefault="00A73A3B" w:rsidP="00BF633D">
      <w:pPr>
        <w:rPr>
          <w:rFonts w:ascii="Times New Roman" w:hAnsi="Times New Roman" w:cs="Times New Roman"/>
          <w:i/>
          <w:sz w:val="18"/>
          <w:szCs w:val="18"/>
          <w:lang w:val="id-ID"/>
        </w:rPr>
      </w:pPr>
      <w:r>
        <w:rPr>
          <w:rFonts w:ascii="Times New Roman" w:hAnsi="Times New Roman" w:cs="Times New Roman"/>
          <w:i/>
          <w:sz w:val="18"/>
          <w:szCs w:val="18"/>
          <w:vertAlign w:val="superscript"/>
          <w:lang w:val="id-ID"/>
        </w:rPr>
        <w:t>1</w:t>
      </w:r>
      <w:hyperlink r:id="rId8" w:history="1">
        <w:r w:rsidR="0044326A" w:rsidRPr="00E13D22">
          <w:rPr>
            <w:rStyle w:val="Hyperlink"/>
            <w:rFonts w:ascii="Times New Roman" w:hAnsi="Times New Roman" w:cs="Times New Roman"/>
            <w:i/>
            <w:sz w:val="18"/>
            <w:szCs w:val="18"/>
            <w:lang w:val="en-AU"/>
          </w:rPr>
          <w:t>nugrahaadhi007@email.com</w:t>
        </w:r>
      </w:hyperlink>
      <w:bookmarkStart w:id="0" w:name="_Hlk83221029"/>
      <w:bookmarkEnd w:id="0"/>
      <w:r w:rsidRPr="00E13D22">
        <w:rPr>
          <w:rFonts w:ascii="Times New Roman" w:hAnsi="Times New Roman" w:cs="Times New Roman"/>
          <w:i/>
          <w:sz w:val="18"/>
          <w:szCs w:val="18"/>
          <w:lang w:val="id-ID"/>
        </w:rPr>
        <w:t xml:space="preserve">, </w:t>
      </w:r>
      <w:r w:rsidRPr="00E13D22">
        <w:rPr>
          <w:rFonts w:ascii="Times New Roman" w:hAnsi="Times New Roman" w:cs="Times New Roman"/>
          <w:i/>
          <w:sz w:val="18"/>
          <w:szCs w:val="18"/>
          <w:vertAlign w:val="superscript"/>
          <w:lang w:val="id-ID"/>
        </w:rPr>
        <w:t>2</w:t>
      </w:r>
      <w:hyperlink r:id="rId9" w:history="1">
        <w:r w:rsidR="00E13D22" w:rsidRPr="00E13D22">
          <w:rPr>
            <w:rStyle w:val="Hyperlink"/>
            <w:rFonts w:ascii="Times New Roman" w:hAnsi="Times New Roman" w:cs="Times New Roman"/>
            <w:i/>
            <w:sz w:val="18"/>
            <w:szCs w:val="18"/>
            <w:lang w:val="en-US"/>
          </w:rPr>
          <w:t>lailirahmawati</w:t>
        </w:r>
        <w:r w:rsidR="00E13D22" w:rsidRPr="00E13D22">
          <w:rPr>
            <w:rStyle w:val="Hyperlink"/>
            <w:rFonts w:ascii="Times New Roman" w:hAnsi="Times New Roman" w:cs="Times New Roman"/>
            <w:i/>
            <w:sz w:val="18"/>
            <w:szCs w:val="18"/>
            <w:lang w:val="id-ID"/>
          </w:rPr>
          <w:t>@gmail.com</w:t>
        </w:r>
      </w:hyperlink>
      <w:r>
        <w:rPr>
          <w:rFonts w:ascii="Times New Roman" w:hAnsi="Times New Roman" w:cs="Times New Roman"/>
          <w:i/>
          <w:sz w:val="18"/>
          <w:szCs w:val="18"/>
          <w:lang w:val="id-ID"/>
        </w:rPr>
        <w:t xml:space="preserve">, </w:t>
      </w:r>
      <w:r>
        <w:rPr>
          <w:rFonts w:ascii="Times New Roman" w:hAnsi="Times New Roman" w:cs="Times New Roman"/>
          <w:i/>
          <w:sz w:val="18"/>
          <w:szCs w:val="18"/>
          <w:vertAlign w:val="superscript"/>
          <w:lang w:val="id-ID"/>
        </w:rPr>
        <w:t>3</w:t>
      </w:r>
      <w:hyperlink r:id="rId10" w:history="1">
        <w:r w:rsidR="0044326A" w:rsidRPr="00B73053">
          <w:rPr>
            <w:rStyle w:val="Hyperlink"/>
            <w:rFonts w:ascii="Times New Roman" w:hAnsi="Times New Roman" w:cs="Times New Roman"/>
            <w:i/>
            <w:sz w:val="18"/>
            <w:szCs w:val="18"/>
            <w:lang w:val="en-US"/>
          </w:rPr>
          <w:t>yana.asupriatna</w:t>
        </w:r>
        <w:r w:rsidR="0044326A" w:rsidRPr="00B73053">
          <w:rPr>
            <w:rStyle w:val="Hyperlink"/>
            <w:rFonts w:ascii="Times New Roman" w:hAnsi="Times New Roman" w:cs="Times New Roman"/>
            <w:i/>
            <w:sz w:val="18"/>
            <w:szCs w:val="18"/>
            <w:lang w:val="id-ID"/>
          </w:rPr>
          <w:t>@gmail.com</w:t>
        </w:r>
      </w:hyperlink>
      <w:r>
        <w:rPr>
          <w:rFonts w:ascii="Times New Roman" w:hAnsi="Times New Roman" w:cs="Times New Roman"/>
          <w:i/>
          <w:sz w:val="18"/>
          <w:szCs w:val="18"/>
          <w:lang w:val="id-ID"/>
        </w:rPr>
        <w:t xml:space="preserve"> </w:t>
      </w:r>
    </w:p>
    <w:tbl>
      <w:tblPr>
        <w:tblStyle w:val="TableGrid1"/>
        <w:tblW w:w="9214" w:type="dxa"/>
        <w:tblLook w:val="04A0" w:firstRow="1" w:lastRow="0" w:firstColumn="1" w:lastColumn="0" w:noHBand="0" w:noVBand="1"/>
      </w:tblPr>
      <w:tblGrid>
        <w:gridCol w:w="2268"/>
        <w:gridCol w:w="284"/>
        <w:gridCol w:w="6662"/>
      </w:tblGrid>
      <w:tr w:rsidR="00457035" w:rsidRPr="005B571C" w14:paraId="2AF1EF95" w14:textId="77777777" w:rsidTr="007E5B85">
        <w:tc>
          <w:tcPr>
            <w:tcW w:w="2268" w:type="dxa"/>
            <w:tcBorders>
              <w:top w:val="double" w:sz="4" w:space="0" w:color="auto"/>
              <w:left w:val="nil"/>
              <w:bottom w:val="single" w:sz="4" w:space="0" w:color="auto"/>
              <w:right w:val="nil"/>
            </w:tcBorders>
          </w:tcPr>
          <w:p w14:paraId="0020CA10" w14:textId="77777777" w:rsidR="00457035" w:rsidRPr="005B571C" w:rsidRDefault="00457035" w:rsidP="00457035">
            <w:pPr>
              <w:jc w:val="both"/>
              <w:rPr>
                <w:b/>
              </w:rPr>
            </w:pPr>
            <w:bookmarkStart w:id="1" w:name="_Hlk96678446"/>
            <w:r w:rsidRPr="005B571C">
              <w:rPr>
                <w:b/>
              </w:rPr>
              <w:t>Info Artikel</w:t>
            </w:r>
          </w:p>
        </w:tc>
        <w:tc>
          <w:tcPr>
            <w:tcW w:w="284" w:type="dxa"/>
            <w:tcBorders>
              <w:top w:val="double" w:sz="4" w:space="0" w:color="auto"/>
              <w:left w:val="nil"/>
              <w:bottom w:val="nil"/>
              <w:right w:val="nil"/>
            </w:tcBorders>
          </w:tcPr>
          <w:p w14:paraId="04F47BD1" w14:textId="77777777" w:rsidR="00457035" w:rsidRPr="005B571C" w:rsidRDefault="00457035" w:rsidP="00457035">
            <w:pPr>
              <w:jc w:val="center"/>
            </w:pPr>
          </w:p>
        </w:tc>
        <w:tc>
          <w:tcPr>
            <w:tcW w:w="6662" w:type="dxa"/>
            <w:tcBorders>
              <w:top w:val="double" w:sz="4" w:space="0" w:color="auto"/>
              <w:left w:val="nil"/>
              <w:bottom w:val="single" w:sz="4" w:space="0" w:color="auto"/>
              <w:right w:val="nil"/>
            </w:tcBorders>
          </w:tcPr>
          <w:p w14:paraId="323EB6A7" w14:textId="38DA5837" w:rsidR="00457035" w:rsidRPr="005B571C" w:rsidRDefault="00457035" w:rsidP="00457035">
            <w:pPr>
              <w:rPr>
                <w:color w:val="000000"/>
                <w:sz w:val="24"/>
                <w:szCs w:val="24"/>
              </w:rPr>
            </w:pPr>
            <w:r w:rsidRPr="005B571C">
              <w:rPr>
                <w:b/>
                <w:bCs/>
                <w:iCs/>
                <w:color w:val="000000"/>
              </w:rPr>
              <w:t>ABSTRAK</w:t>
            </w:r>
          </w:p>
        </w:tc>
      </w:tr>
      <w:tr w:rsidR="00457035" w:rsidRPr="005B571C" w14:paraId="336210D6" w14:textId="77777777" w:rsidTr="007E5B85">
        <w:trPr>
          <w:trHeight w:val="1268"/>
        </w:trPr>
        <w:tc>
          <w:tcPr>
            <w:tcW w:w="2268" w:type="dxa"/>
            <w:tcBorders>
              <w:top w:val="single" w:sz="4" w:space="0" w:color="auto"/>
              <w:left w:val="nil"/>
              <w:bottom w:val="single" w:sz="4" w:space="0" w:color="auto"/>
              <w:right w:val="nil"/>
            </w:tcBorders>
          </w:tcPr>
          <w:p w14:paraId="1E8102A8" w14:textId="77777777" w:rsidR="00457035" w:rsidRPr="00A73A3B" w:rsidRDefault="00457035" w:rsidP="00457035">
            <w:pPr>
              <w:jc w:val="both"/>
              <w:rPr>
                <w:b/>
                <w:iCs/>
              </w:rPr>
            </w:pPr>
            <w:r w:rsidRPr="00A73A3B">
              <w:rPr>
                <w:b/>
                <w:iCs/>
              </w:rPr>
              <w:t>Sejarah artikel:</w:t>
            </w:r>
          </w:p>
          <w:p w14:paraId="564FA8DB" w14:textId="6F28B641" w:rsidR="00457035" w:rsidRPr="005B571C" w:rsidRDefault="00457035" w:rsidP="00457035">
            <w:pPr>
              <w:jc w:val="both"/>
              <w:rPr>
                <w:sz w:val="18"/>
                <w:szCs w:val="18"/>
              </w:rPr>
            </w:pPr>
            <w:r w:rsidRPr="005B571C">
              <w:rPr>
                <w:sz w:val="18"/>
                <w:szCs w:val="18"/>
              </w:rPr>
              <w:t xml:space="preserve">Diterima </w:t>
            </w:r>
            <w:r w:rsidR="0088327A">
              <w:rPr>
                <w:sz w:val="18"/>
                <w:szCs w:val="18"/>
              </w:rPr>
              <w:t>DDMMYY</w:t>
            </w:r>
          </w:p>
          <w:p w14:paraId="490DB622" w14:textId="02EC7753" w:rsidR="00457035" w:rsidRPr="005B571C" w:rsidRDefault="007E5B85" w:rsidP="00457035">
            <w:pPr>
              <w:jc w:val="both"/>
              <w:rPr>
                <w:sz w:val="18"/>
                <w:szCs w:val="18"/>
              </w:rPr>
            </w:pPr>
            <w:r w:rsidRPr="007E5B85">
              <w:rPr>
                <w:sz w:val="18"/>
                <w:szCs w:val="18"/>
              </w:rPr>
              <w:t>Disetujui</w:t>
            </w:r>
            <w:r w:rsidR="00457035" w:rsidRPr="005B571C">
              <w:rPr>
                <w:sz w:val="18"/>
                <w:szCs w:val="18"/>
              </w:rPr>
              <w:t xml:space="preserve"> </w:t>
            </w:r>
            <w:r w:rsidR="0088327A">
              <w:rPr>
                <w:sz w:val="18"/>
                <w:szCs w:val="18"/>
              </w:rPr>
              <w:t>DDMMYY</w:t>
            </w:r>
          </w:p>
          <w:p w14:paraId="2E110CF8" w14:textId="03EF41B0" w:rsidR="00457035" w:rsidRPr="005B571C" w:rsidRDefault="007E5B85" w:rsidP="00457035">
            <w:pPr>
              <w:jc w:val="both"/>
              <w:rPr>
                <w:sz w:val="18"/>
                <w:szCs w:val="18"/>
              </w:rPr>
            </w:pPr>
            <w:r w:rsidRPr="007E5B85">
              <w:rPr>
                <w:sz w:val="18"/>
                <w:szCs w:val="18"/>
              </w:rPr>
              <w:t>Diterbitkan</w:t>
            </w:r>
            <w:r w:rsidR="00457035" w:rsidRPr="005B571C">
              <w:rPr>
                <w:sz w:val="18"/>
                <w:szCs w:val="18"/>
              </w:rPr>
              <w:t xml:space="preserve"> </w:t>
            </w:r>
            <w:r w:rsidR="0088327A">
              <w:rPr>
                <w:sz w:val="18"/>
                <w:szCs w:val="18"/>
              </w:rPr>
              <w:t>DDMMYY</w:t>
            </w:r>
          </w:p>
          <w:p w14:paraId="5F2B5F08" w14:textId="77777777" w:rsidR="00457035" w:rsidRPr="005B571C" w:rsidRDefault="00457035" w:rsidP="00457035">
            <w:pPr>
              <w:jc w:val="both"/>
            </w:pPr>
          </w:p>
        </w:tc>
        <w:tc>
          <w:tcPr>
            <w:tcW w:w="284" w:type="dxa"/>
            <w:vMerge w:val="restart"/>
            <w:tcBorders>
              <w:top w:val="nil"/>
              <w:left w:val="nil"/>
              <w:bottom w:val="nil"/>
              <w:right w:val="nil"/>
            </w:tcBorders>
          </w:tcPr>
          <w:p w14:paraId="1DE9A70D" w14:textId="77777777" w:rsidR="00457035" w:rsidRPr="005B571C" w:rsidRDefault="00457035" w:rsidP="00457035">
            <w:pPr>
              <w:jc w:val="both"/>
            </w:pPr>
          </w:p>
        </w:tc>
        <w:tc>
          <w:tcPr>
            <w:tcW w:w="6662" w:type="dxa"/>
            <w:vMerge w:val="restart"/>
            <w:tcBorders>
              <w:top w:val="single" w:sz="4" w:space="0" w:color="auto"/>
              <w:left w:val="nil"/>
              <w:bottom w:val="nil"/>
              <w:right w:val="nil"/>
            </w:tcBorders>
          </w:tcPr>
          <w:p w14:paraId="27BA5BD7" w14:textId="0148C016" w:rsidR="005B571C" w:rsidRPr="005B571C" w:rsidRDefault="00CA371A" w:rsidP="00457035">
            <w:pPr>
              <w:ind w:right="-70"/>
              <w:jc w:val="both"/>
              <w:rPr>
                <w:iCs/>
                <w:color w:val="000000"/>
                <w:sz w:val="18"/>
                <w:szCs w:val="18"/>
              </w:rPr>
            </w:pPr>
            <w:r w:rsidRPr="00CA371A">
              <w:rPr>
                <w:iCs/>
                <w:color w:val="000000"/>
                <w:sz w:val="18"/>
                <w:szCs w:val="18"/>
              </w:rPr>
              <w:t>Bank syariah telah menjadi bagian penting dari sistem keuangan di Indonesia, menawarkan layanan yang berbasis pada prinsip-prinsip syariah. Namun, persepsi masyarakat terhadap kualitas layanan bank syariah di tingkat lokal, seperti di Kota Bandung, masih menjadi topik yang memerlukan penelitian lebih lanjut. Penelitian ini bertujuan untuk mengukur persepsi masyarakat terhadap kualitas layanan bank syariah di Kota Bandung menggunakan metode penelitian kuantitatif. Data dikumpulkan melalui survei dengan menggunakan kuesioner yang didistribusikan kepada 300 responden. Analisis dilakukan menggunakan metode statistik deskriptif dan regresi linier berganda untuk mengevaluasi hubungan antara dimensi kualitas layanan (tangible, reliability, responsiveness, assurance, dan empathy) dan kepuasan pelanggan. Hasil penelitian menunjukkan bahwa dimensi assurance dan empathy memiliki pengaruh paling signifikan terhadap persepsi masyarakat. Penelitian ini memberikan rekomendasi praktis bagi bank syariah untuk meningkatkan kualitas layanan mereka.</w:t>
            </w:r>
          </w:p>
        </w:tc>
      </w:tr>
      <w:bookmarkEnd w:id="1"/>
      <w:tr w:rsidR="00457035" w:rsidRPr="005B571C" w14:paraId="07FFFC2A" w14:textId="77777777" w:rsidTr="007E5B85">
        <w:trPr>
          <w:trHeight w:val="1231"/>
        </w:trPr>
        <w:tc>
          <w:tcPr>
            <w:tcW w:w="2268" w:type="dxa"/>
            <w:vMerge w:val="restart"/>
            <w:tcBorders>
              <w:top w:val="single" w:sz="4" w:space="0" w:color="auto"/>
              <w:left w:val="nil"/>
              <w:bottom w:val="single" w:sz="4" w:space="0" w:color="auto"/>
              <w:right w:val="nil"/>
            </w:tcBorders>
          </w:tcPr>
          <w:p w14:paraId="542CB164" w14:textId="77777777" w:rsidR="00457035" w:rsidRPr="00A73A3B" w:rsidRDefault="00457035" w:rsidP="00457035">
            <w:pPr>
              <w:jc w:val="both"/>
              <w:rPr>
                <w:b/>
                <w:iCs/>
              </w:rPr>
            </w:pPr>
            <w:r w:rsidRPr="00A73A3B">
              <w:rPr>
                <w:b/>
                <w:iCs/>
              </w:rPr>
              <w:t>Kata kunci:</w:t>
            </w:r>
          </w:p>
          <w:p w14:paraId="519E2663" w14:textId="426CFB65" w:rsidR="00457035" w:rsidRPr="006414D6" w:rsidRDefault="006E41BF" w:rsidP="0088327A">
            <w:pPr>
              <w:rPr>
                <w:sz w:val="18"/>
                <w:szCs w:val="18"/>
              </w:rPr>
            </w:pPr>
            <w:r w:rsidRPr="006E41BF">
              <w:rPr>
                <w:sz w:val="18"/>
                <w:szCs w:val="18"/>
              </w:rPr>
              <w:t>Bank syariah</w:t>
            </w:r>
            <w:r>
              <w:rPr>
                <w:sz w:val="18"/>
                <w:szCs w:val="18"/>
                <w:lang w:val="en-US"/>
              </w:rPr>
              <w:t xml:space="preserve">; </w:t>
            </w:r>
            <w:r w:rsidRPr="006E41BF">
              <w:rPr>
                <w:sz w:val="18"/>
                <w:szCs w:val="18"/>
              </w:rPr>
              <w:t>prinsip syariah</w:t>
            </w:r>
            <w:r>
              <w:rPr>
                <w:sz w:val="18"/>
                <w:szCs w:val="18"/>
                <w:lang w:val="en-US"/>
              </w:rPr>
              <w:t>;</w:t>
            </w:r>
            <w:r w:rsidRPr="006E41BF">
              <w:rPr>
                <w:sz w:val="18"/>
                <w:szCs w:val="18"/>
              </w:rPr>
              <w:t xml:space="preserve"> kualitas layanan</w:t>
            </w:r>
            <w:r>
              <w:rPr>
                <w:sz w:val="18"/>
                <w:szCs w:val="18"/>
                <w:lang w:val="en-US"/>
              </w:rPr>
              <w:t xml:space="preserve">; </w:t>
            </w:r>
            <w:r w:rsidRPr="006E41BF">
              <w:rPr>
                <w:sz w:val="18"/>
                <w:szCs w:val="18"/>
              </w:rPr>
              <w:t>persepsi masyarakat</w:t>
            </w:r>
            <w:r>
              <w:rPr>
                <w:sz w:val="18"/>
                <w:szCs w:val="18"/>
                <w:lang w:val="en-US"/>
              </w:rPr>
              <w:t>;</w:t>
            </w:r>
            <w:r w:rsidRPr="006E41BF">
              <w:rPr>
                <w:sz w:val="18"/>
                <w:szCs w:val="18"/>
              </w:rPr>
              <w:t xml:space="preserve"> kepuasan pelanggan</w:t>
            </w:r>
          </w:p>
        </w:tc>
        <w:tc>
          <w:tcPr>
            <w:tcW w:w="284" w:type="dxa"/>
            <w:vMerge/>
            <w:tcBorders>
              <w:top w:val="nil"/>
              <w:left w:val="nil"/>
              <w:bottom w:val="nil"/>
              <w:right w:val="nil"/>
            </w:tcBorders>
          </w:tcPr>
          <w:p w14:paraId="3B3394BC" w14:textId="77777777" w:rsidR="00457035" w:rsidRPr="005B571C" w:rsidRDefault="00457035" w:rsidP="00457035">
            <w:pPr>
              <w:jc w:val="both"/>
            </w:pPr>
          </w:p>
        </w:tc>
        <w:tc>
          <w:tcPr>
            <w:tcW w:w="6662" w:type="dxa"/>
            <w:vMerge/>
            <w:tcBorders>
              <w:top w:val="nil"/>
              <w:left w:val="nil"/>
              <w:bottom w:val="single" w:sz="4" w:space="0" w:color="auto"/>
              <w:right w:val="nil"/>
            </w:tcBorders>
          </w:tcPr>
          <w:p w14:paraId="44DDB1EF" w14:textId="77777777" w:rsidR="00457035" w:rsidRPr="005B571C" w:rsidRDefault="00457035" w:rsidP="00457035">
            <w:pPr>
              <w:jc w:val="both"/>
              <w:rPr>
                <w:iCs/>
                <w:color w:val="000000"/>
                <w:sz w:val="18"/>
                <w:szCs w:val="18"/>
              </w:rPr>
            </w:pPr>
          </w:p>
        </w:tc>
      </w:tr>
      <w:tr w:rsidR="005B571C" w:rsidRPr="005B571C" w14:paraId="6CE5779E" w14:textId="77777777" w:rsidTr="007E5B85">
        <w:trPr>
          <w:trHeight w:val="233"/>
        </w:trPr>
        <w:tc>
          <w:tcPr>
            <w:tcW w:w="2268" w:type="dxa"/>
            <w:vMerge/>
            <w:tcBorders>
              <w:top w:val="single" w:sz="4" w:space="0" w:color="auto"/>
              <w:left w:val="nil"/>
              <w:bottom w:val="single" w:sz="4" w:space="0" w:color="auto"/>
              <w:right w:val="nil"/>
            </w:tcBorders>
          </w:tcPr>
          <w:p w14:paraId="02797EAD" w14:textId="77777777" w:rsidR="005B571C" w:rsidRPr="005B571C" w:rsidRDefault="005B571C" w:rsidP="00457035">
            <w:pPr>
              <w:jc w:val="both"/>
              <w:rPr>
                <w:b/>
                <w:i/>
              </w:rPr>
            </w:pPr>
          </w:p>
        </w:tc>
        <w:tc>
          <w:tcPr>
            <w:tcW w:w="284" w:type="dxa"/>
            <w:vMerge/>
            <w:tcBorders>
              <w:top w:val="nil"/>
              <w:left w:val="nil"/>
              <w:bottom w:val="nil"/>
              <w:right w:val="nil"/>
            </w:tcBorders>
          </w:tcPr>
          <w:p w14:paraId="09FD54CB" w14:textId="77777777" w:rsidR="005B571C" w:rsidRPr="005B571C" w:rsidRDefault="005B571C" w:rsidP="00457035">
            <w:pPr>
              <w:jc w:val="both"/>
            </w:pPr>
          </w:p>
        </w:tc>
        <w:tc>
          <w:tcPr>
            <w:tcW w:w="6662" w:type="dxa"/>
            <w:tcBorders>
              <w:top w:val="single" w:sz="4" w:space="0" w:color="auto"/>
              <w:left w:val="nil"/>
              <w:bottom w:val="single" w:sz="4" w:space="0" w:color="auto"/>
              <w:right w:val="nil"/>
            </w:tcBorders>
          </w:tcPr>
          <w:p w14:paraId="56AAAE16" w14:textId="0F29CF35" w:rsidR="005B571C" w:rsidRPr="005B571C" w:rsidRDefault="005B571C" w:rsidP="00457035">
            <w:pPr>
              <w:jc w:val="both"/>
              <w:rPr>
                <w:iCs/>
                <w:color w:val="000000"/>
                <w:sz w:val="18"/>
                <w:szCs w:val="18"/>
              </w:rPr>
            </w:pPr>
            <w:r w:rsidRPr="005B571C">
              <w:rPr>
                <w:b/>
                <w:bCs/>
                <w:i/>
                <w:color w:val="000000"/>
              </w:rPr>
              <w:t>ABSTRA</w:t>
            </w:r>
            <w:r w:rsidRPr="005B571C">
              <w:rPr>
                <w:b/>
                <w:bCs/>
                <w:i/>
                <w:color w:val="000000"/>
                <w:lang w:val="en-US"/>
              </w:rPr>
              <w:t>CT</w:t>
            </w:r>
          </w:p>
        </w:tc>
      </w:tr>
      <w:tr w:rsidR="005B571C" w:rsidRPr="002B7942" w14:paraId="63F4C962" w14:textId="77777777" w:rsidTr="007E5B85">
        <w:trPr>
          <w:trHeight w:val="233"/>
        </w:trPr>
        <w:tc>
          <w:tcPr>
            <w:tcW w:w="2268" w:type="dxa"/>
            <w:vMerge w:val="restart"/>
            <w:tcBorders>
              <w:top w:val="single" w:sz="4" w:space="0" w:color="auto"/>
              <w:left w:val="nil"/>
              <w:bottom w:val="single" w:sz="4" w:space="0" w:color="auto"/>
              <w:right w:val="nil"/>
            </w:tcBorders>
          </w:tcPr>
          <w:p w14:paraId="08C15506" w14:textId="77777777" w:rsidR="005B571C" w:rsidRDefault="006414D6" w:rsidP="00457035">
            <w:pPr>
              <w:jc w:val="both"/>
              <w:rPr>
                <w:b/>
                <w:i/>
                <w:lang w:val="en-US"/>
              </w:rPr>
            </w:pPr>
            <w:proofErr w:type="gramStart"/>
            <w:r>
              <w:rPr>
                <w:b/>
                <w:i/>
                <w:lang w:val="en-US"/>
              </w:rPr>
              <w:t>Keywords :</w:t>
            </w:r>
            <w:proofErr w:type="gramEnd"/>
          </w:p>
          <w:p w14:paraId="3A2AE00F" w14:textId="2C3EA59B" w:rsidR="005E3CBA" w:rsidRPr="006E41BF" w:rsidRDefault="006E41BF" w:rsidP="006E41BF">
            <w:pPr>
              <w:rPr>
                <w:bCs/>
                <w:i/>
                <w:sz w:val="18"/>
                <w:szCs w:val="18"/>
                <w:lang w:val="en-US"/>
              </w:rPr>
            </w:pPr>
            <w:r w:rsidRPr="006E41BF">
              <w:rPr>
                <w:bCs/>
                <w:i/>
                <w:sz w:val="18"/>
                <w:szCs w:val="18"/>
                <w:lang w:val="en-US"/>
              </w:rPr>
              <w:t>Islamic banks; sharia principles; service quality; public perception; customer satisfaction</w:t>
            </w:r>
          </w:p>
        </w:tc>
        <w:tc>
          <w:tcPr>
            <w:tcW w:w="284" w:type="dxa"/>
            <w:vMerge/>
            <w:tcBorders>
              <w:top w:val="nil"/>
              <w:left w:val="nil"/>
              <w:bottom w:val="nil"/>
              <w:right w:val="nil"/>
            </w:tcBorders>
          </w:tcPr>
          <w:p w14:paraId="19E27C70" w14:textId="77777777" w:rsidR="005B571C" w:rsidRPr="005B571C" w:rsidRDefault="005B571C" w:rsidP="00457035">
            <w:pPr>
              <w:jc w:val="both"/>
            </w:pPr>
          </w:p>
        </w:tc>
        <w:tc>
          <w:tcPr>
            <w:tcW w:w="6662" w:type="dxa"/>
            <w:tcBorders>
              <w:top w:val="single" w:sz="4" w:space="0" w:color="auto"/>
              <w:left w:val="nil"/>
              <w:bottom w:val="single" w:sz="4" w:space="0" w:color="auto"/>
              <w:right w:val="nil"/>
            </w:tcBorders>
          </w:tcPr>
          <w:p w14:paraId="20CC9820" w14:textId="1CB96F39" w:rsidR="005B571C" w:rsidRPr="005B571C" w:rsidRDefault="00CA371A" w:rsidP="00457035">
            <w:pPr>
              <w:jc w:val="both"/>
              <w:rPr>
                <w:i/>
                <w:color w:val="000000"/>
                <w:sz w:val="18"/>
                <w:szCs w:val="18"/>
              </w:rPr>
            </w:pPr>
            <w:r w:rsidRPr="00CA371A">
              <w:rPr>
                <w:i/>
                <w:color w:val="000000"/>
                <w:sz w:val="18"/>
                <w:szCs w:val="18"/>
              </w:rPr>
              <w:t>Islamic banks have become an important part of the financial system in Indonesia, offering services based on sharia principles. However, public perception of the quality of Islamic bank services at the local level, such as in Bandung City, is still a topic that requires further research. This study aims to measure people's perceptions of the quality of Islamic bank services in Bandung City using quantitative research methods. Data was collected through a survey using questionnaires distributed to 300 respondents. Analysis was conducted using descriptive statistical methods and multiple linear regression to evaluate the relationship between service quality dimensions (tangible, reliability, responsiveness, assurance, and empathy) and customer satisfaction. The results showed that assurance and empathy dimensions have the most significant influence on public perception. This study provides practical recommendations for Islamic banks to improve their service quality.</w:t>
            </w:r>
          </w:p>
        </w:tc>
      </w:tr>
      <w:tr w:rsidR="00457035" w:rsidRPr="005B571C" w14:paraId="2C84553F" w14:textId="77777777" w:rsidTr="007E5B85">
        <w:trPr>
          <w:trHeight w:val="70"/>
        </w:trPr>
        <w:tc>
          <w:tcPr>
            <w:tcW w:w="2268" w:type="dxa"/>
            <w:vMerge/>
            <w:tcBorders>
              <w:top w:val="single" w:sz="4" w:space="0" w:color="auto"/>
              <w:left w:val="nil"/>
              <w:bottom w:val="single" w:sz="4" w:space="0" w:color="auto"/>
              <w:right w:val="nil"/>
            </w:tcBorders>
          </w:tcPr>
          <w:p w14:paraId="40DE9290" w14:textId="77777777" w:rsidR="00457035" w:rsidRPr="005B571C" w:rsidRDefault="00457035" w:rsidP="00457035">
            <w:pPr>
              <w:jc w:val="both"/>
              <w:rPr>
                <w:b/>
                <w:i/>
              </w:rPr>
            </w:pPr>
          </w:p>
        </w:tc>
        <w:tc>
          <w:tcPr>
            <w:tcW w:w="284" w:type="dxa"/>
            <w:vMerge/>
            <w:tcBorders>
              <w:top w:val="nil"/>
              <w:left w:val="nil"/>
              <w:bottom w:val="nil"/>
              <w:right w:val="nil"/>
            </w:tcBorders>
          </w:tcPr>
          <w:p w14:paraId="35A96F9C" w14:textId="77777777" w:rsidR="00457035" w:rsidRPr="005B571C" w:rsidRDefault="00457035" w:rsidP="00457035">
            <w:pPr>
              <w:jc w:val="both"/>
            </w:pPr>
          </w:p>
        </w:tc>
        <w:tc>
          <w:tcPr>
            <w:tcW w:w="6662" w:type="dxa"/>
            <w:tcBorders>
              <w:top w:val="single" w:sz="4" w:space="0" w:color="auto"/>
              <w:left w:val="nil"/>
              <w:bottom w:val="single" w:sz="4" w:space="0" w:color="auto"/>
              <w:right w:val="nil"/>
            </w:tcBorders>
          </w:tcPr>
          <w:p w14:paraId="625686F5" w14:textId="7BBEC40D" w:rsidR="00457035" w:rsidRPr="005B571C" w:rsidRDefault="00E80B5C" w:rsidP="00457035">
            <w:pPr>
              <w:ind w:left="1056" w:hanging="1056"/>
            </w:pPr>
            <w:r>
              <w:rPr>
                <w:noProof/>
              </w:rPr>
              <w:drawing>
                <wp:anchor distT="0" distB="0" distL="114300" distR="114300" simplePos="0" relativeHeight="251658240" behindDoc="0" locked="0" layoutInCell="1" allowOverlap="1" wp14:anchorId="417664D0" wp14:editId="66827C47">
                  <wp:simplePos x="0" y="0"/>
                  <wp:positionH relativeFrom="column">
                    <wp:posOffset>-36195</wp:posOffset>
                  </wp:positionH>
                  <wp:positionV relativeFrom="paragraph">
                    <wp:posOffset>48895</wp:posOffset>
                  </wp:positionV>
                  <wp:extent cx="563245" cy="225425"/>
                  <wp:effectExtent l="0" t="0" r="8255"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3245" cy="225425"/>
                          </a:xfrm>
                          <a:prstGeom prst="rect">
                            <a:avLst/>
                          </a:prstGeom>
                          <a:noFill/>
                          <a:ln>
                            <a:noFill/>
                          </a:ln>
                        </pic:spPr>
                      </pic:pic>
                    </a:graphicData>
                  </a:graphic>
                  <wp14:sizeRelV relativeFrom="margin">
                    <wp14:pctHeight>0</wp14:pctHeight>
                  </wp14:sizeRelV>
                </wp:anchor>
              </w:drawing>
            </w:r>
            <w:r w:rsidR="00457035" w:rsidRPr="005B571C">
              <w:rPr>
                <w:sz w:val="16"/>
                <w:szCs w:val="16"/>
              </w:rPr>
              <w:t>©</w:t>
            </w:r>
            <w:r w:rsidR="00457035" w:rsidRPr="005B571C">
              <w:rPr>
                <w:sz w:val="15"/>
                <w:szCs w:val="15"/>
              </w:rPr>
              <w:t xml:space="preserve">2022 Penulis. Diterbitkan oleh Program Studi Akuntansi, Institut Koperasi Indonesia. Ini adalah artikel akses terbuka di bawah lisensi CC BY </w:t>
            </w:r>
            <w:r>
              <w:rPr>
                <w:sz w:val="15"/>
                <w:szCs w:val="15"/>
              </w:rPr>
              <w:t xml:space="preserve">NC </w:t>
            </w:r>
            <w:r w:rsidR="00457035" w:rsidRPr="005B571C">
              <w:rPr>
                <w:sz w:val="15"/>
                <w:szCs w:val="15"/>
              </w:rPr>
              <w:t>(https://creativecommons.org/licenses/by/4.0/)</w:t>
            </w:r>
          </w:p>
        </w:tc>
      </w:tr>
    </w:tbl>
    <w:p w14:paraId="6BC72F78" w14:textId="77777777" w:rsidR="00D20EBB" w:rsidRDefault="00D20EBB"/>
    <w:p w14:paraId="537509C6" w14:textId="429ED35F" w:rsidR="00C25554" w:rsidRPr="00C25554" w:rsidRDefault="00C25554" w:rsidP="00C25554">
      <w:pPr>
        <w:spacing w:after="0" w:line="240" w:lineRule="auto"/>
        <w:contextualSpacing/>
        <w:rPr>
          <w:rFonts w:ascii="Times New Roman" w:hAnsi="Times New Roman" w:cs="Times New Roman"/>
          <w:b/>
        </w:rPr>
      </w:pPr>
      <w:r w:rsidRPr="00C25554">
        <w:rPr>
          <w:rFonts w:ascii="Times New Roman" w:hAnsi="Times New Roman" w:cs="Times New Roman"/>
          <w:b/>
        </w:rPr>
        <w:t>PENDAHULUAN</w:t>
      </w:r>
    </w:p>
    <w:p w14:paraId="30DD917A" w14:textId="77777777" w:rsidR="002722C7" w:rsidRPr="002722C7" w:rsidRDefault="002722C7" w:rsidP="002722C7">
      <w:pPr>
        <w:spacing w:after="0" w:line="240" w:lineRule="auto"/>
        <w:ind w:firstLine="720"/>
        <w:contextualSpacing/>
        <w:jc w:val="both"/>
        <w:rPr>
          <w:rFonts w:ascii="Times New Roman" w:hAnsi="Times New Roman" w:cs="Times New Roman"/>
          <w:lang w:val="id-ID"/>
        </w:rPr>
      </w:pPr>
      <w:r w:rsidRPr="002722C7">
        <w:rPr>
          <w:rFonts w:ascii="Times New Roman" w:hAnsi="Times New Roman" w:cs="Times New Roman"/>
          <w:lang w:val="id-ID"/>
        </w:rPr>
        <w:t>Layanan perbankan syariah di Indonesia telah mengalami pertumbuhan yang pesat dalam beberapa dekade terakhir, seiring dengan meningkatnya kesadaran masyarakat terhadap sistem keuangan berbasis syariah (Nasution, 2020). Kota Bandung, sebagai salah satu kota besar di Indonesia, menjadi pusat aktivitas ekonomi dan memiliki potensi pasar yang besar bagi bank syariah (Wulandari, 2018). Namun, dalam persaingan yang semakin ketat, kualitas layanan menjadi salah satu faktor penentu keberhasilan bank syariah dalam menarik dan mempertahankan nasabah (Halim, 2019).</w:t>
      </w:r>
    </w:p>
    <w:p w14:paraId="3F22BF33" w14:textId="77777777" w:rsidR="002722C7" w:rsidRPr="002722C7" w:rsidRDefault="002722C7" w:rsidP="002722C7">
      <w:pPr>
        <w:spacing w:after="0" w:line="240" w:lineRule="auto"/>
        <w:contextualSpacing/>
        <w:jc w:val="both"/>
        <w:rPr>
          <w:rFonts w:ascii="Times New Roman" w:hAnsi="Times New Roman" w:cs="Times New Roman"/>
          <w:lang w:val="id-ID"/>
        </w:rPr>
      </w:pPr>
    </w:p>
    <w:p w14:paraId="330DE51D" w14:textId="77777777" w:rsidR="002722C7" w:rsidRPr="002722C7" w:rsidRDefault="002722C7" w:rsidP="002722C7">
      <w:pPr>
        <w:spacing w:after="0" w:line="240" w:lineRule="auto"/>
        <w:ind w:firstLine="720"/>
        <w:contextualSpacing/>
        <w:jc w:val="both"/>
        <w:rPr>
          <w:rFonts w:ascii="Times New Roman" w:hAnsi="Times New Roman" w:cs="Times New Roman"/>
          <w:lang w:val="id-ID"/>
        </w:rPr>
      </w:pPr>
      <w:r w:rsidRPr="002722C7">
        <w:rPr>
          <w:rFonts w:ascii="Times New Roman" w:hAnsi="Times New Roman" w:cs="Times New Roman"/>
          <w:lang w:val="id-ID"/>
        </w:rPr>
        <w:t>Kualitas layanan memiliki dampak signifikan pada tingkat kepuasan dan loyalitas nasabah (Parasuraman et al., 1988). Dalam konteks bank syariah, kualitas layanan tidak hanya mencakup aspek teknis seperti kecepatan dan keakuratan transaksi, tetapi juga melibatkan nilai-nilai syariah yang menjadi ciri khas lembaga ini (Ismail, 2017). Oleh karena itu, penting bagi bank syariah untuk memahami bagaimana persepsi masyarakat terhadap kualitas layanan mereka dan dimensi mana yang paling memengaruhi kepuasan pelanggan (Setiawan, 2020).</w:t>
      </w:r>
    </w:p>
    <w:p w14:paraId="371B5E5B" w14:textId="77777777" w:rsidR="002722C7" w:rsidRPr="002722C7" w:rsidRDefault="002722C7" w:rsidP="002722C7">
      <w:pPr>
        <w:spacing w:after="0" w:line="240" w:lineRule="auto"/>
        <w:contextualSpacing/>
        <w:jc w:val="both"/>
        <w:rPr>
          <w:rFonts w:ascii="Times New Roman" w:hAnsi="Times New Roman" w:cs="Times New Roman"/>
          <w:lang w:val="id-ID"/>
        </w:rPr>
      </w:pPr>
    </w:p>
    <w:p w14:paraId="2FFF9437" w14:textId="77777777" w:rsidR="002722C7" w:rsidRPr="002722C7" w:rsidRDefault="002722C7" w:rsidP="002722C7">
      <w:pPr>
        <w:spacing w:after="0" w:line="240" w:lineRule="auto"/>
        <w:ind w:firstLine="720"/>
        <w:contextualSpacing/>
        <w:jc w:val="both"/>
        <w:rPr>
          <w:rFonts w:ascii="Times New Roman" w:hAnsi="Times New Roman" w:cs="Times New Roman"/>
          <w:lang w:val="id-ID"/>
        </w:rPr>
      </w:pPr>
      <w:r w:rsidRPr="002722C7">
        <w:rPr>
          <w:rFonts w:ascii="Times New Roman" w:hAnsi="Times New Roman" w:cs="Times New Roman"/>
          <w:lang w:val="id-ID"/>
        </w:rPr>
        <w:lastRenderedPageBreak/>
        <w:t>Model SERVQUAL yang diperkenalkan oleh Parasuraman, Zeithaml, dan Berry (1988) menawarkan kerangka kerja yang relevan untuk mengevaluasi kualitas layanan. Model ini mencakup lima dimensi utama, yaitu tangible (aspek fisik), reliability (keandalan), responsiveness (daya tanggap), assurance (jaminan), dan empathy (empati) (Parasuraman et al., 1988). Setiap dimensi ini memberikan wawasan yang berbeda tentang bagaimana layanan dapat ditingkatkan untuk memenuhi kebutuhan nasabah (Hidayat, 2021).</w:t>
      </w:r>
    </w:p>
    <w:p w14:paraId="7AE5BC92" w14:textId="77777777" w:rsidR="002722C7" w:rsidRPr="002722C7" w:rsidRDefault="002722C7" w:rsidP="002722C7">
      <w:pPr>
        <w:spacing w:after="0" w:line="240" w:lineRule="auto"/>
        <w:contextualSpacing/>
        <w:jc w:val="both"/>
        <w:rPr>
          <w:rFonts w:ascii="Times New Roman" w:hAnsi="Times New Roman" w:cs="Times New Roman"/>
          <w:lang w:val="id-ID"/>
        </w:rPr>
      </w:pPr>
    </w:p>
    <w:p w14:paraId="5A802EE3" w14:textId="77777777" w:rsidR="002722C7" w:rsidRPr="002722C7" w:rsidRDefault="002722C7" w:rsidP="002722C7">
      <w:pPr>
        <w:spacing w:after="0" w:line="240" w:lineRule="auto"/>
        <w:ind w:firstLine="720"/>
        <w:contextualSpacing/>
        <w:jc w:val="both"/>
        <w:rPr>
          <w:rFonts w:ascii="Times New Roman" w:hAnsi="Times New Roman" w:cs="Times New Roman"/>
          <w:lang w:val="id-ID"/>
        </w:rPr>
      </w:pPr>
      <w:r w:rsidRPr="002722C7">
        <w:rPr>
          <w:rFonts w:ascii="Times New Roman" w:hAnsi="Times New Roman" w:cs="Times New Roman"/>
          <w:lang w:val="id-ID"/>
        </w:rPr>
        <w:t>Kota Bandung, sebagai lokasi penelitian, dipilih karena karakteristiknya yang unik sebagai kota besar dengan populasi yang beragam (Anwar &amp; Nugroho, 2019). Selain itu, keberadaan bank syariah yang semakin meningkat di wilayah ini memberikan peluang untuk mengeksplorasi persepsi masyarakat terhadap layanan yang mereka terima (Prasetyo, 2020). Penelitian sebelumnya menunjukkan bahwa masyarakat di kota-kota besar cenderung memiliki ekspektasi yang lebih tinggi terhadap kualitas layanan, sehingga analisis persepsi mereka menjadi penting (Sutrisno, 2018).</w:t>
      </w:r>
    </w:p>
    <w:p w14:paraId="0293B26E" w14:textId="77777777" w:rsidR="002722C7" w:rsidRPr="002722C7" w:rsidRDefault="002722C7" w:rsidP="002722C7">
      <w:pPr>
        <w:spacing w:after="0" w:line="240" w:lineRule="auto"/>
        <w:contextualSpacing/>
        <w:jc w:val="both"/>
        <w:rPr>
          <w:rFonts w:ascii="Times New Roman" w:hAnsi="Times New Roman" w:cs="Times New Roman"/>
          <w:lang w:val="id-ID"/>
        </w:rPr>
      </w:pPr>
    </w:p>
    <w:p w14:paraId="7730D204" w14:textId="77777777" w:rsidR="002722C7" w:rsidRPr="002722C7" w:rsidRDefault="002722C7" w:rsidP="002722C7">
      <w:pPr>
        <w:spacing w:after="0" w:line="240" w:lineRule="auto"/>
        <w:ind w:firstLine="720"/>
        <w:contextualSpacing/>
        <w:jc w:val="both"/>
        <w:rPr>
          <w:rFonts w:ascii="Times New Roman" w:hAnsi="Times New Roman" w:cs="Times New Roman"/>
          <w:lang w:val="id-ID"/>
        </w:rPr>
      </w:pPr>
      <w:r w:rsidRPr="002722C7">
        <w:rPr>
          <w:rFonts w:ascii="Times New Roman" w:hAnsi="Times New Roman" w:cs="Times New Roman"/>
          <w:lang w:val="id-ID"/>
        </w:rPr>
        <w:t>Penelitian ini tidak hanya berfokus pada pengukuran kualitas layanan secara umum, tetapi juga pada identifikasi dimensi yang memiliki dampak terbesar terhadap kepuasan pelanggan (Wahyu, 2019). Dengan demikian, hasil penelitian ini diharapkan dapat memberikan rekomendasi yang relevan bagi pengembangan strategi layanan bank syariah di masa depan (Rahayu, 2020).</w:t>
      </w:r>
    </w:p>
    <w:p w14:paraId="26F5DC2B" w14:textId="77777777" w:rsidR="002722C7" w:rsidRPr="002722C7" w:rsidRDefault="002722C7" w:rsidP="002722C7">
      <w:pPr>
        <w:spacing w:after="0" w:line="240" w:lineRule="auto"/>
        <w:contextualSpacing/>
        <w:jc w:val="both"/>
        <w:rPr>
          <w:rFonts w:ascii="Times New Roman" w:hAnsi="Times New Roman" w:cs="Times New Roman"/>
          <w:lang w:val="id-ID"/>
        </w:rPr>
      </w:pPr>
    </w:p>
    <w:p w14:paraId="410C19A4" w14:textId="77777777" w:rsidR="002722C7" w:rsidRPr="002722C7" w:rsidRDefault="002722C7" w:rsidP="002722C7">
      <w:pPr>
        <w:spacing w:after="0" w:line="240" w:lineRule="auto"/>
        <w:ind w:firstLine="720"/>
        <w:contextualSpacing/>
        <w:jc w:val="both"/>
        <w:rPr>
          <w:rFonts w:ascii="Times New Roman" w:hAnsi="Times New Roman" w:cs="Times New Roman"/>
          <w:lang w:val="id-ID"/>
        </w:rPr>
      </w:pPr>
      <w:r w:rsidRPr="002722C7">
        <w:rPr>
          <w:rFonts w:ascii="Times New Roman" w:hAnsi="Times New Roman" w:cs="Times New Roman"/>
          <w:lang w:val="id-ID"/>
        </w:rPr>
        <w:t>Pendekatan kuantitatif digunakan dalam penelitian ini untuk memberikan hasil yang objektif dan terukur (Faisal, 2017). Data yang dikumpulkan melalui survei diolah menggunakan teknik statistik deskriptif dan regresi linier berganda untuk mengevaluasi hubungan antara dimensi kualitas layanan dan persepsi masyarakat (Jamil, 2019). Metodologi ini memungkinkan peneliti untuk mengidentifikasi faktor-faktor yang signifikan secara statistik dan memberikan wawasan yang mendalam (Kurniawan, 2021).</w:t>
      </w:r>
    </w:p>
    <w:p w14:paraId="08406F04" w14:textId="77777777" w:rsidR="002722C7" w:rsidRPr="002722C7" w:rsidRDefault="002722C7" w:rsidP="002722C7">
      <w:pPr>
        <w:spacing w:after="0" w:line="240" w:lineRule="auto"/>
        <w:contextualSpacing/>
        <w:jc w:val="both"/>
        <w:rPr>
          <w:rFonts w:ascii="Times New Roman" w:hAnsi="Times New Roman" w:cs="Times New Roman"/>
          <w:lang w:val="id-ID"/>
        </w:rPr>
      </w:pPr>
    </w:p>
    <w:p w14:paraId="2AEF960A" w14:textId="77777777" w:rsidR="002722C7" w:rsidRPr="002722C7" w:rsidRDefault="002722C7" w:rsidP="002722C7">
      <w:pPr>
        <w:spacing w:after="0" w:line="240" w:lineRule="auto"/>
        <w:ind w:firstLine="720"/>
        <w:contextualSpacing/>
        <w:jc w:val="both"/>
        <w:rPr>
          <w:rFonts w:ascii="Times New Roman" w:hAnsi="Times New Roman" w:cs="Times New Roman"/>
          <w:lang w:val="id-ID"/>
        </w:rPr>
      </w:pPr>
      <w:r w:rsidRPr="002722C7">
        <w:rPr>
          <w:rFonts w:ascii="Times New Roman" w:hAnsi="Times New Roman" w:cs="Times New Roman"/>
          <w:lang w:val="id-ID"/>
        </w:rPr>
        <w:t>Dengan memahami persepsi masyarakat terhadap kualitas layanan, bank syariah dapat lebih proaktif dalam merancang dan mengimplementasikan kebijakan yang meningkatkan daya saing mereka (Nurhayati, 2020). Penelitian ini juga memberikan kontribusi terhadap literatur tentang manajemen kualitas layanan dalam konteks perbankan syariah di Indonesia (Abdurrahman, 2020).</w:t>
      </w:r>
    </w:p>
    <w:p w14:paraId="445BD034" w14:textId="77777777" w:rsidR="002722C7" w:rsidRPr="002722C7" w:rsidRDefault="002722C7" w:rsidP="002722C7">
      <w:pPr>
        <w:spacing w:after="0" w:line="240" w:lineRule="auto"/>
        <w:contextualSpacing/>
        <w:jc w:val="both"/>
        <w:rPr>
          <w:rFonts w:ascii="Times New Roman" w:hAnsi="Times New Roman" w:cs="Times New Roman"/>
          <w:lang w:val="id-ID"/>
        </w:rPr>
      </w:pPr>
    </w:p>
    <w:p w14:paraId="114F3B2D" w14:textId="794239C0" w:rsidR="002722C7" w:rsidRPr="002722C7" w:rsidRDefault="002722C7" w:rsidP="002722C7">
      <w:pPr>
        <w:spacing w:after="0" w:line="240" w:lineRule="auto"/>
        <w:ind w:firstLine="720"/>
        <w:contextualSpacing/>
        <w:jc w:val="both"/>
        <w:rPr>
          <w:rFonts w:ascii="Times New Roman" w:hAnsi="Times New Roman" w:cs="Times New Roman"/>
          <w:lang w:val="id-ID"/>
        </w:rPr>
      </w:pPr>
      <w:r>
        <w:rPr>
          <w:rFonts w:ascii="Times New Roman" w:hAnsi="Times New Roman" w:cs="Times New Roman"/>
          <w:lang w:val="en-US"/>
        </w:rPr>
        <w:t>P</w:t>
      </w:r>
      <w:r w:rsidRPr="002722C7">
        <w:rPr>
          <w:rFonts w:ascii="Times New Roman" w:hAnsi="Times New Roman" w:cs="Times New Roman"/>
          <w:lang w:val="id-ID"/>
        </w:rPr>
        <w:t>enelitian ini bertujuan untuk menjawab pertanyaan utama: dimensi kualitas layanan mana yang paling memengaruhi persepsi masyarakat terhadap bank syariah di Kota Bandung? Jawaban atas pertanyaan ini tidak hanya memberikan manfaat praktis bagi bank syariah, tetapi juga menjadi dasar bagi penelitian lanjutan di bidang ini (Putri, 2018).</w:t>
      </w:r>
    </w:p>
    <w:p w14:paraId="7270105E" w14:textId="77777777" w:rsidR="00C25554" w:rsidRPr="002722C7" w:rsidRDefault="00C25554" w:rsidP="00C25554">
      <w:pPr>
        <w:spacing w:after="0" w:line="240" w:lineRule="auto"/>
        <w:contextualSpacing/>
        <w:jc w:val="both"/>
        <w:rPr>
          <w:rFonts w:ascii="Times New Roman" w:hAnsi="Times New Roman" w:cs="Times New Roman"/>
          <w:lang w:val="id-ID"/>
        </w:rPr>
      </w:pPr>
    </w:p>
    <w:p w14:paraId="44236684" w14:textId="561C231D" w:rsidR="00C25554" w:rsidRPr="007B7EAF" w:rsidRDefault="00C25554" w:rsidP="00C25554">
      <w:pPr>
        <w:spacing w:after="0" w:line="240" w:lineRule="auto"/>
        <w:contextualSpacing/>
        <w:rPr>
          <w:rFonts w:ascii="Times New Roman" w:hAnsi="Times New Roman" w:cs="Times New Roman"/>
          <w:b/>
          <w:lang w:val="id-ID"/>
        </w:rPr>
      </w:pPr>
      <w:r w:rsidRPr="00C25554">
        <w:rPr>
          <w:rFonts w:ascii="Times New Roman" w:hAnsi="Times New Roman" w:cs="Times New Roman"/>
          <w:b/>
        </w:rPr>
        <w:t>METODE PENELITIAN</w:t>
      </w:r>
    </w:p>
    <w:p w14:paraId="36F345F9" w14:textId="77777777" w:rsidR="00415183" w:rsidRPr="00415183" w:rsidRDefault="00415183" w:rsidP="00415183">
      <w:pPr>
        <w:spacing w:after="0" w:line="240" w:lineRule="auto"/>
        <w:ind w:firstLine="720"/>
        <w:contextualSpacing/>
        <w:jc w:val="both"/>
        <w:rPr>
          <w:rFonts w:ascii="Times New Roman" w:hAnsi="Times New Roman" w:cs="Times New Roman"/>
          <w:lang w:val="sv-SE"/>
        </w:rPr>
      </w:pPr>
      <w:r w:rsidRPr="00415183">
        <w:rPr>
          <w:rFonts w:ascii="Times New Roman" w:hAnsi="Times New Roman" w:cs="Times New Roman"/>
          <w:lang w:val="sv-SE"/>
        </w:rPr>
        <w:t xml:space="preserve">Penelitian ini menggunakan metode kuantitatif dengan desain survei. Populasi penelitian adalah petani di Indonesia yang menggunakan layanan asuransi syariah. Sampel penelitian terdiri dari 200 responden yang dipilih secara </w:t>
      </w:r>
      <w:r w:rsidRPr="00047845">
        <w:rPr>
          <w:rFonts w:ascii="Times New Roman" w:hAnsi="Times New Roman" w:cs="Times New Roman"/>
          <w:i/>
          <w:iCs/>
          <w:lang w:val="sv-SE"/>
        </w:rPr>
        <w:t>purposive sampling</w:t>
      </w:r>
      <w:r w:rsidRPr="00415183">
        <w:rPr>
          <w:rFonts w:ascii="Times New Roman" w:hAnsi="Times New Roman" w:cs="Times New Roman"/>
          <w:lang w:val="sv-SE"/>
        </w:rPr>
        <w:t xml:space="preserve"> berdasarkan kriteria: (1) aktif menggunakan asuransi syariah selama minimal satu tahun terakhir, dan (2) pernah mengalami kerugian finansial akibat risiko pertanian.</w:t>
      </w:r>
    </w:p>
    <w:p w14:paraId="2DD041D1" w14:textId="77777777" w:rsidR="00415183" w:rsidRPr="00415183" w:rsidRDefault="00415183" w:rsidP="00415183">
      <w:pPr>
        <w:spacing w:after="0" w:line="240" w:lineRule="auto"/>
        <w:ind w:firstLine="720"/>
        <w:contextualSpacing/>
        <w:jc w:val="both"/>
        <w:rPr>
          <w:rFonts w:ascii="Times New Roman" w:hAnsi="Times New Roman" w:cs="Times New Roman"/>
          <w:lang w:val="sv-SE"/>
        </w:rPr>
      </w:pPr>
      <w:r w:rsidRPr="00415183">
        <w:rPr>
          <w:rFonts w:ascii="Times New Roman" w:hAnsi="Times New Roman" w:cs="Times New Roman"/>
          <w:lang w:val="sv-SE"/>
        </w:rPr>
        <w:t>Instrumen penelitian berupa kuesioner yang terdiri dari 20 pernyataan yang diukur menggunakan skala Likert 5 poin, mulai dari “sangat tidak setuju” hingga “sangat setuju.” Pernyataan tersebut mencakup aspek-aspek seperti pemahaman tentang asuransi syariah, pengalaman menggunakan layanan, tingkat perlindungan terhadap risiko, dan dampak pada kestabilan pendapatan.</w:t>
      </w:r>
    </w:p>
    <w:p w14:paraId="71CF8D06" w14:textId="2979B908" w:rsidR="00C25554" w:rsidRDefault="00415183" w:rsidP="00415183">
      <w:pPr>
        <w:spacing w:after="0" w:line="240" w:lineRule="auto"/>
        <w:ind w:firstLine="720"/>
        <w:contextualSpacing/>
        <w:jc w:val="both"/>
        <w:rPr>
          <w:rFonts w:ascii="Times New Roman" w:hAnsi="Times New Roman" w:cs="Times New Roman"/>
          <w:lang w:val="sv-SE"/>
        </w:rPr>
      </w:pPr>
      <w:r w:rsidRPr="00415183">
        <w:rPr>
          <w:rFonts w:ascii="Times New Roman" w:hAnsi="Times New Roman" w:cs="Times New Roman"/>
          <w:lang w:val="sv-SE"/>
        </w:rPr>
        <w:t>Data dianalisis menggunakan statistik deskriptif untuk menggambarkan karakteristik responden dan persepsi mereka terhadap asuransi syariah. Selain itu, regresi linier digunakan untuk mengevaluasi hubungan antara tingkat perlindungan asuransi syariah dan kestabilan pendapatan petani.</w:t>
      </w:r>
    </w:p>
    <w:p w14:paraId="125696FE" w14:textId="77777777" w:rsidR="007B7EAF" w:rsidRDefault="007B7EAF" w:rsidP="00C25554">
      <w:pPr>
        <w:spacing w:after="0" w:line="240" w:lineRule="auto"/>
        <w:contextualSpacing/>
        <w:jc w:val="both"/>
        <w:rPr>
          <w:rFonts w:ascii="Times New Roman" w:hAnsi="Times New Roman" w:cs="Times New Roman"/>
          <w:lang w:val="sv-SE"/>
        </w:rPr>
      </w:pPr>
    </w:p>
    <w:p w14:paraId="42621125" w14:textId="25714780" w:rsidR="00C25554" w:rsidRPr="00F874F1" w:rsidRDefault="00C25554" w:rsidP="00C25554">
      <w:pPr>
        <w:spacing w:after="0" w:line="240" w:lineRule="auto"/>
        <w:contextualSpacing/>
        <w:rPr>
          <w:rFonts w:ascii="Times New Roman" w:hAnsi="Times New Roman" w:cs="Times New Roman"/>
          <w:b/>
          <w:lang w:val="id-ID"/>
        </w:rPr>
      </w:pPr>
      <w:r w:rsidRPr="00C25554">
        <w:rPr>
          <w:rFonts w:ascii="Times New Roman" w:hAnsi="Times New Roman" w:cs="Times New Roman"/>
          <w:b/>
        </w:rPr>
        <w:t xml:space="preserve">HASIL DAN </w:t>
      </w:r>
      <w:r w:rsidR="00F874F1">
        <w:rPr>
          <w:rFonts w:ascii="Times New Roman" w:hAnsi="Times New Roman" w:cs="Times New Roman"/>
          <w:b/>
          <w:lang w:val="id-ID"/>
        </w:rPr>
        <w:t>PEMBAHASAN</w:t>
      </w:r>
    </w:p>
    <w:p w14:paraId="2F33F535" w14:textId="77777777" w:rsidR="006A0F45" w:rsidRPr="006A0F45" w:rsidRDefault="006A0F45" w:rsidP="006A0F45">
      <w:pPr>
        <w:spacing w:after="0" w:line="240" w:lineRule="auto"/>
        <w:ind w:firstLine="720"/>
        <w:contextualSpacing/>
        <w:jc w:val="both"/>
        <w:rPr>
          <w:rFonts w:ascii="Times New Roman" w:hAnsi="Times New Roman" w:cs="Times New Roman"/>
          <w:lang w:val="en-US"/>
        </w:rPr>
      </w:pPr>
      <w:r w:rsidRPr="006A0F45">
        <w:rPr>
          <w:rFonts w:ascii="Times New Roman" w:hAnsi="Times New Roman" w:cs="Times New Roman"/>
          <w:lang w:val="en-US"/>
        </w:rPr>
        <w:t xml:space="preserve">Hasil penelitian menunjukkan bahwa mayoritas petani memiliki persepsi positif terhadap peran asuransi syariah dalam melindungi mereka dari risiko keuangan. Sekitar 80% responden melaporkan bahwa asuransi syariah membantu mengurangi dampak kerugian finansial akibat bencana alam dan </w:t>
      </w:r>
      <w:r w:rsidRPr="006A0F45">
        <w:rPr>
          <w:rFonts w:ascii="Times New Roman" w:hAnsi="Times New Roman" w:cs="Times New Roman"/>
          <w:lang w:val="en-US"/>
        </w:rPr>
        <w:lastRenderedPageBreak/>
        <w:t>fluktuasi harga pasar. Selain itu, 65% responden menyatakan bahwa pendapatan mereka menjadi lebih stabil setelah bergabung dengan program asuransi syariah.</w:t>
      </w:r>
    </w:p>
    <w:p w14:paraId="7752C38C" w14:textId="77777777" w:rsidR="006A0F45" w:rsidRPr="006A0F45" w:rsidRDefault="006A0F45" w:rsidP="006A0F45">
      <w:pPr>
        <w:spacing w:after="0" w:line="240" w:lineRule="auto"/>
        <w:ind w:firstLine="720"/>
        <w:contextualSpacing/>
        <w:jc w:val="both"/>
        <w:rPr>
          <w:rFonts w:ascii="Times New Roman" w:hAnsi="Times New Roman" w:cs="Times New Roman"/>
          <w:lang w:val="en-US"/>
        </w:rPr>
      </w:pPr>
      <w:r w:rsidRPr="006A0F45">
        <w:rPr>
          <w:rFonts w:ascii="Times New Roman" w:hAnsi="Times New Roman" w:cs="Times New Roman"/>
          <w:lang w:val="en-US"/>
        </w:rPr>
        <w:t>Analisis regresi linier menunjukkan bahwa tingkat perlindungan asuransi syariah memiliki pengaruh signifikan terhadap kestabilan pendapatan petani (koefisien regresi = 0,52, p &lt; 0,05). Hasil ini menunjukkan bahwa semakin tinggi perlindungan yang diberikan oleh asuransi syariah, semakin stabil pendapatan petani. Faktor-faktor lain yang turut memengaruhi efektivitas asuransi syariah meliputi tingkat pemahaman petani tentang produk asuransi dan kemudahan akses terhadap layanan.</w:t>
      </w:r>
    </w:p>
    <w:p w14:paraId="26FA632F" w14:textId="3D24D522" w:rsidR="006A0F45" w:rsidRPr="006A0F45" w:rsidRDefault="006A0F45" w:rsidP="006A0F45">
      <w:pPr>
        <w:spacing w:after="0" w:line="240" w:lineRule="auto"/>
        <w:ind w:firstLine="720"/>
        <w:contextualSpacing/>
        <w:jc w:val="both"/>
        <w:rPr>
          <w:rFonts w:ascii="Times New Roman" w:hAnsi="Times New Roman" w:cs="Times New Roman"/>
          <w:lang w:val="en-US"/>
        </w:rPr>
      </w:pPr>
      <w:r w:rsidRPr="006A0F45">
        <w:rPr>
          <w:rFonts w:ascii="Times New Roman" w:hAnsi="Times New Roman" w:cs="Times New Roman"/>
          <w:lang w:val="en-US"/>
        </w:rPr>
        <w:t>Namun, penelitian ini juga menemukan beberapa tantangan yang dihadapi oleh petani dalam menggunakan asuransi syariah. Salah satu tantangan utama adalah kurangnya sosialisasi dan edukasi tentang manfaat asuransi syariah, yang menyebabkan banyak petani masih ragu untuk berpartisipasi. Selain itu, keterbatasan infrastruktur di daerah pedesaan juga menjadi hambatan dalam penyebaran layanan asuransi syariah.</w:t>
      </w:r>
    </w:p>
    <w:p w14:paraId="3C054BE1" w14:textId="77777777" w:rsidR="00C25554" w:rsidRPr="006A0F45" w:rsidRDefault="00C25554" w:rsidP="00C25554">
      <w:pPr>
        <w:tabs>
          <w:tab w:val="left" w:pos="360"/>
        </w:tabs>
        <w:spacing w:after="0" w:line="240" w:lineRule="auto"/>
        <w:jc w:val="both"/>
        <w:rPr>
          <w:rFonts w:ascii="Times New Roman" w:hAnsi="Times New Roman"/>
          <w:b/>
          <w:lang w:val="en-US"/>
        </w:rPr>
      </w:pPr>
    </w:p>
    <w:p w14:paraId="091CEEA7" w14:textId="4A816413" w:rsidR="00C25554" w:rsidRPr="007B7EAF" w:rsidRDefault="00C25554" w:rsidP="00C25554">
      <w:pPr>
        <w:spacing w:after="0" w:line="240" w:lineRule="auto"/>
        <w:contextualSpacing/>
        <w:rPr>
          <w:rFonts w:ascii="Times New Roman" w:hAnsi="Times New Roman" w:cs="Times New Roman"/>
          <w:b/>
          <w:lang w:val="id-ID"/>
        </w:rPr>
      </w:pPr>
      <w:r w:rsidRPr="00C25554">
        <w:rPr>
          <w:rFonts w:ascii="Times New Roman" w:hAnsi="Times New Roman" w:cs="Times New Roman"/>
          <w:b/>
        </w:rPr>
        <w:t>KESIMPULAN</w:t>
      </w:r>
      <w:r w:rsidR="007B7EAF">
        <w:rPr>
          <w:rFonts w:ascii="Times New Roman" w:hAnsi="Times New Roman" w:cs="Times New Roman"/>
          <w:b/>
          <w:lang w:val="id-ID"/>
        </w:rPr>
        <w:t xml:space="preserve"> </w:t>
      </w:r>
    </w:p>
    <w:p w14:paraId="2787C4D7" w14:textId="60E910C8" w:rsidR="00C25554" w:rsidRDefault="002932DB" w:rsidP="00C25554">
      <w:pPr>
        <w:spacing w:after="0" w:line="240" w:lineRule="auto"/>
        <w:ind w:firstLine="720"/>
        <w:contextualSpacing/>
        <w:jc w:val="both"/>
        <w:rPr>
          <w:rFonts w:ascii="Times New Roman" w:hAnsi="Times New Roman" w:cs="Times New Roman"/>
          <w:lang w:val="en-US"/>
        </w:rPr>
      </w:pPr>
      <w:r w:rsidRPr="002932DB">
        <w:rPr>
          <w:rFonts w:ascii="Times New Roman" w:hAnsi="Times New Roman" w:cs="Times New Roman"/>
          <w:lang w:val="en-US"/>
        </w:rPr>
        <w:t>Penelitian ini menyimpulkan bahwa asuransi syariah memiliki peran signifikan dalam mengurangi risiko keuangan di sektor pertanian. Dengan prinsip-prinsip berbasis syariah, layanan ini tidak hanya memberikan perlindungan finansial tetapi juga menciptakan sistem solidaritas di antara petani. Namun, untuk meningkatkan adopsi asuransi syariah di sektor ini, diperlukan upaya yang lebih besar dalam edukasi, inovasi produk, dan pengembangan infrastruktur.</w:t>
      </w:r>
    </w:p>
    <w:p w14:paraId="6835A75D" w14:textId="77777777" w:rsidR="002932DB" w:rsidRPr="002932DB" w:rsidRDefault="002932DB" w:rsidP="00C25554">
      <w:pPr>
        <w:spacing w:after="0" w:line="240" w:lineRule="auto"/>
        <w:ind w:firstLine="720"/>
        <w:contextualSpacing/>
        <w:jc w:val="both"/>
        <w:rPr>
          <w:rFonts w:ascii="Times New Roman" w:hAnsi="Times New Roman" w:cs="Times New Roman"/>
          <w:lang w:val="en-US"/>
        </w:rPr>
      </w:pPr>
    </w:p>
    <w:p w14:paraId="1E9723EE" w14:textId="557B99AE" w:rsidR="00C25554" w:rsidRPr="007B7EAF" w:rsidRDefault="005B571C" w:rsidP="00C25554">
      <w:pPr>
        <w:spacing w:after="0" w:line="240" w:lineRule="auto"/>
        <w:contextualSpacing/>
        <w:jc w:val="both"/>
        <w:rPr>
          <w:rFonts w:ascii="Times New Roman" w:hAnsi="Times New Roman" w:cs="Times New Roman"/>
          <w:b/>
          <w:bCs/>
          <w:lang w:val="id-ID"/>
        </w:rPr>
      </w:pPr>
      <w:r>
        <w:rPr>
          <w:rFonts w:ascii="Times New Roman" w:hAnsi="Times New Roman" w:cs="Times New Roman"/>
          <w:b/>
          <w:bCs/>
        </w:rPr>
        <w:t>DAFTAR PUSTAKA</w:t>
      </w:r>
      <w:r w:rsidR="007B7EAF">
        <w:rPr>
          <w:rFonts w:ascii="Times New Roman" w:hAnsi="Times New Roman" w:cs="Times New Roman"/>
          <w:b/>
          <w:bCs/>
          <w:lang w:val="id-ID"/>
        </w:rPr>
        <w:t xml:space="preserve"> </w:t>
      </w:r>
    </w:p>
    <w:p w14:paraId="0F557765" w14:textId="77777777" w:rsidR="007C66C0" w:rsidRPr="007C66C0" w:rsidRDefault="007C66C0" w:rsidP="006D05D2">
      <w:pPr>
        <w:spacing w:after="0"/>
        <w:ind w:left="426" w:hanging="426"/>
        <w:jc w:val="both"/>
        <w:rPr>
          <w:rFonts w:ascii="Times New Roman" w:eastAsia="Calibri" w:hAnsi="Times New Roman" w:cs="Times New Roman"/>
          <w:lang w:val="id-ID"/>
        </w:rPr>
      </w:pPr>
      <w:r w:rsidRPr="007C66C0">
        <w:rPr>
          <w:rFonts w:ascii="Times New Roman" w:eastAsia="Calibri" w:hAnsi="Times New Roman" w:cs="Times New Roman"/>
          <w:lang w:val="id-ID"/>
        </w:rPr>
        <w:t>Abdurrahman, S. (2020). Manajemen Kualitas Layanan Perbankan Syariah. Jakarta: Penerbit Ekonomi Syariah.</w:t>
      </w:r>
    </w:p>
    <w:p w14:paraId="5CD20999" w14:textId="77777777" w:rsidR="007C66C0" w:rsidRPr="007C66C0" w:rsidRDefault="007C66C0" w:rsidP="006D05D2">
      <w:pPr>
        <w:spacing w:after="0"/>
        <w:ind w:left="426" w:hanging="426"/>
        <w:jc w:val="both"/>
        <w:rPr>
          <w:rFonts w:ascii="Times New Roman" w:eastAsia="Calibri" w:hAnsi="Times New Roman" w:cs="Times New Roman"/>
          <w:lang w:val="id-ID"/>
        </w:rPr>
      </w:pPr>
      <w:r w:rsidRPr="007C66C0">
        <w:rPr>
          <w:rFonts w:ascii="Times New Roman" w:eastAsia="Calibri" w:hAnsi="Times New Roman" w:cs="Times New Roman"/>
          <w:lang w:val="id-ID"/>
        </w:rPr>
        <w:t>Anwar, M., &amp; Nugroho, A. (2019). Persepsi masyarakat terhadap bank syariah di Kota Bandung. Jurnal Ekonomi Syariah, 12(3), 45-58.</w:t>
      </w:r>
    </w:p>
    <w:p w14:paraId="00C71D5C" w14:textId="77777777" w:rsidR="007C66C0" w:rsidRPr="007C66C0" w:rsidRDefault="007C66C0" w:rsidP="006D05D2">
      <w:pPr>
        <w:spacing w:after="0"/>
        <w:ind w:left="426" w:hanging="426"/>
        <w:jc w:val="both"/>
        <w:rPr>
          <w:rFonts w:ascii="Times New Roman" w:eastAsia="Calibri" w:hAnsi="Times New Roman" w:cs="Times New Roman"/>
          <w:lang w:val="id-ID"/>
        </w:rPr>
      </w:pPr>
      <w:r w:rsidRPr="007C66C0">
        <w:rPr>
          <w:rFonts w:ascii="Times New Roman" w:eastAsia="Calibri" w:hAnsi="Times New Roman" w:cs="Times New Roman"/>
          <w:lang w:val="id-ID"/>
        </w:rPr>
        <w:t>Faisal, R. (2017). Metodologi Penelitian Kuantitatif dalam Ekonomi. Yogyakarta: Penerbit Universitas.</w:t>
      </w:r>
    </w:p>
    <w:p w14:paraId="71BDFFAD" w14:textId="77777777" w:rsidR="007C66C0" w:rsidRPr="007C66C0" w:rsidRDefault="007C66C0" w:rsidP="006D05D2">
      <w:pPr>
        <w:spacing w:after="0"/>
        <w:ind w:left="426" w:hanging="426"/>
        <w:jc w:val="both"/>
        <w:rPr>
          <w:rFonts w:ascii="Times New Roman" w:eastAsia="Calibri" w:hAnsi="Times New Roman" w:cs="Times New Roman"/>
          <w:lang w:val="id-ID"/>
        </w:rPr>
      </w:pPr>
      <w:r w:rsidRPr="007C66C0">
        <w:rPr>
          <w:rFonts w:ascii="Times New Roman" w:eastAsia="Calibri" w:hAnsi="Times New Roman" w:cs="Times New Roman"/>
          <w:lang w:val="id-ID"/>
        </w:rPr>
        <w:t>Halim, B. (2019). Persaingan dan Kualitas Layanan Bank Syariah. Bandung: Penerbit Ekonomi.</w:t>
      </w:r>
    </w:p>
    <w:p w14:paraId="210684F7" w14:textId="77777777" w:rsidR="007C66C0" w:rsidRPr="007C66C0" w:rsidRDefault="007C66C0" w:rsidP="006D05D2">
      <w:pPr>
        <w:spacing w:after="0"/>
        <w:ind w:left="426" w:hanging="426"/>
        <w:jc w:val="both"/>
        <w:rPr>
          <w:rFonts w:ascii="Times New Roman" w:eastAsia="Calibri" w:hAnsi="Times New Roman" w:cs="Times New Roman"/>
          <w:lang w:val="id-ID"/>
        </w:rPr>
      </w:pPr>
      <w:r w:rsidRPr="007C66C0">
        <w:rPr>
          <w:rFonts w:ascii="Times New Roman" w:eastAsia="Calibri" w:hAnsi="Times New Roman" w:cs="Times New Roman"/>
          <w:lang w:val="id-ID"/>
        </w:rPr>
        <w:t>Hidayat, F. (2021). Evaluasi Kualitas Layanan Bank Syariah di Indonesia. Surabaya: Penerbit Bank Syariah.</w:t>
      </w:r>
    </w:p>
    <w:p w14:paraId="1227B327" w14:textId="77777777" w:rsidR="007C66C0" w:rsidRPr="007C66C0" w:rsidRDefault="007C66C0" w:rsidP="006D05D2">
      <w:pPr>
        <w:spacing w:after="0"/>
        <w:ind w:left="426" w:hanging="426"/>
        <w:jc w:val="both"/>
        <w:rPr>
          <w:rFonts w:ascii="Times New Roman" w:eastAsia="Calibri" w:hAnsi="Times New Roman" w:cs="Times New Roman"/>
          <w:lang w:val="id-ID"/>
        </w:rPr>
      </w:pPr>
      <w:r w:rsidRPr="007C66C0">
        <w:rPr>
          <w:rFonts w:ascii="Times New Roman" w:eastAsia="Calibri" w:hAnsi="Times New Roman" w:cs="Times New Roman"/>
          <w:lang w:val="id-ID"/>
        </w:rPr>
        <w:t>Ismail, A. (2017). Nilai-nilai syariah dalam layanan perbankan syariah. Jurnal Syariah, 15(2), 70-85.</w:t>
      </w:r>
    </w:p>
    <w:p w14:paraId="18109438" w14:textId="77777777" w:rsidR="007C66C0" w:rsidRPr="007C66C0" w:rsidRDefault="007C66C0" w:rsidP="006D05D2">
      <w:pPr>
        <w:spacing w:after="0"/>
        <w:ind w:left="426" w:hanging="426"/>
        <w:jc w:val="both"/>
        <w:rPr>
          <w:rFonts w:ascii="Times New Roman" w:eastAsia="Calibri" w:hAnsi="Times New Roman" w:cs="Times New Roman"/>
          <w:lang w:val="id-ID"/>
        </w:rPr>
      </w:pPr>
      <w:r w:rsidRPr="007C66C0">
        <w:rPr>
          <w:rFonts w:ascii="Times New Roman" w:eastAsia="Calibri" w:hAnsi="Times New Roman" w:cs="Times New Roman"/>
          <w:lang w:val="id-ID"/>
        </w:rPr>
        <w:t>Jamil, M. (2019). Statistik untuk Penelitian Sosial dan Ekonomi. Bandung: Penerbit Statistik.</w:t>
      </w:r>
    </w:p>
    <w:p w14:paraId="4F12F2E6" w14:textId="77777777" w:rsidR="007C66C0" w:rsidRPr="007C66C0" w:rsidRDefault="007C66C0" w:rsidP="006D05D2">
      <w:pPr>
        <w:spacing w:after="0"/>
        <w:ind w:left="426" w:hanging="426"/>
        <w:jc w:val="both"/>
        <w:rPr>
          <w:rFonts w:ascii="Times New Roman" w:eastAsia="Calibri" w:hAnsi="Times New Roman" w:cs="Times New Roman"/>
          <w:lang w:val="id-ID"/>
        </w:rPr>
      </w:pPr>
      <w:r w:rsidRPr="007C66C0">
        <w:rPr>
          <w:rFonts w:ascii="Times New Roman" w:eastAsia="Calibri" w:hAnsi="Times New Roman" w:cs="Times New Roman"/>
          <w:lang w:val="id-ID"/>
        </w:rPr>
        <w:t>Kurniawan, D. (2021). Analisis Regresi Linier dalam Penelitian Ekonomi. Malang: Penerbit Ilmu Ekonomi.</w:t>
      </w:r>
    </w:p>
    <w:p w14:paraId="24FD3121" w14:textId="77777777" w:rsidR="007C66C0" w:rsidRPr="007C66C0" w:rsidRDefault="007C66C0" w:rsidP="006D05D2">
      <w:pPr>
        <w:spacing w:after="0"/>
        <w:ind w:left="426" w:hanging="426"/>
        <w:jc w:val="both"/>
        <w:rPr>
          <w:rFonts w:ascii="Times New Roman" w:eastAsia="Calibri" w:hAnsi="Times New Roman" w:cs="Times New Roman"/>
          <w:lang w:val="id-ID"/>
        </w:rPr>
      </w:pPr>
      <w:r w:rsidRPr="007C66C0">
        <w:rPr>
          <w:rFonts w:ascii="Times New Roman" w:eastAsia="Calibri" w:hAnsi="Times New Roman" w:cs="Times New Roman"/>
          <w:lang w:val="id-ID"/>
        </w:rPr>
        <w:t>Nasution, F. (2020). Perkembangan Bank Syariah di Indonesia. Jakarta: Penerbit Bank Indonesia.</w:t>
      </w:r>
    </w:p>
    <w:p w14:paraId="20529515" w14:textId="77777777" w:rsidR="007C66C0" w:rsidRPr="007C66C0" w:rsidRDefault="007C66C0" w:rsidP="006D05D2">
      <w:pPr>
        <w:spacing w:after="0"/>
        <w:ind w:left="426" w:hanging="426"/>
        <w:jc w:val="both"/>
        <w:rPr>
          <w:rFonts w:ascii="Times New Roman" w:eastAsia="Calibri" w:hAnsi="Times New Roman" w:cs="Times New Roman"/>
          <w:lang w:val="id-ID"/>
        </w:rPr>
      </w:pPr>
      <w:r w:rsidRPr="007C66C0">
        <w:rPr>
          <w:rFonts w:ascii="Times New Roman" w:eastAsia="Calibri" w:hAnsi="Times New Roman" w:cs="Times New Roman"/>
          <w:lang w:val="id-ID"/>
        </w:rPr>
        <w:t>Nurhayati, S. (2020). Strategi Meningkatkan Daya Saing Bank Syariah. Yogyakarta: Penerbit Manajemen.</w:t>
      </w:r>
    </w:p>
    <w:p w14:paraId="1B2E1528" w14:textId="77777777" w:rsidR="007C66C0" w:rsidRPr="007C66C0" w:rsidRDefault="007C66C0" w:rsidP="006D05D2">
      <w:pPr>
        <w:spacing w:after="0"/>
        <w:ind w:left="426" w:hanging="426"/>
        <w:jc w:val="both"/>
        <w:rPr>
          <w:rFonts w:ascii="Times New Roman" w:eastAsia="Calibri" w:hAnsi="Times New Roman" w:cs="Times New Roman"/>
          <w:lang w:val="id-ID"/>
        </w:rPr>
      </w:pPr>
      <w:r w:rsidRPr="007C66C0">
        <w:rPr>
          <w:rFonts w:ascii="Times New Roman" w:eastAsia="Calibri" w:hAnsi="Times New Roman" w:cs="Times New Roman"/>
          <w:lang w:val="id-ID"/>
        </w:rPr>
        <w:t>Parasuraman, A., Zeithaml, V. A., &amp; Berry, L. L. (1988). SERVQUAL: A multiple-item scale for measuring consumer perceptions of service quality. Journal of Retailing, 64(1), 12-40.</w:t>
      </w:r>
    </w:p>
    <w:p w14:paraId="51EE60CB" w14:textId="77777777" w:rsidR="007C66C0" w:rsidRPr="007C66C0" w:rsidRDefault="007C66C0" w:rsidP="006D05D2">
      <w:pPr>
        <w:spacing w:after="0"/>
        <w:ind w:left="426" w:hanging="426"/>
        <w:jc w:val="both"/>
        <w:rPr>
          <w:rFonts w:ascii="Times New Roman" w:eastAsia="Calibri" w:hAnsi="Times New Roman" w:cs="Times New Roman"/>
          <w:lang w:val="id-ID"/>
        </w:rPr>
      </w:pPr>
      <w:r w:rsidRPr="007C66C0">
        <w:rPr>
          <w:rFonts w:ascii="Times New Roman" w:eastAsia="Calibri" w:hAnsi="Times New Roman" w:cs="Times New Roman"/>
          <w:lang w:val="id-ID"/>
        </w:rPr>
        <w:t>Prasetyo, E. (2020). Potensi Bank Syariah di Kota Bandung. Bandung: Penerbit Ekonomi.</w:t>
      </w:r>
    </w:p>
    <w:p w14:paraId="41042D9A" w14:textId="77777777" w:rsidR="007C66C0" w:rsidRPr="007C66C0" w:rsidRDefault="007C66C0" w:rsidP="006D05D2">
      <w:pPr>
        <w:spacing w:after="0"/>
        <w:ind w:left="426" w:hanging="426"/>
        <w:jc w:val="both"/>
        <w:rPr>
          <w:rFonts w:ascii="Times New Roman" w:eastAsia="Calibri" w:hAnsi="Times New Roman" w:cs="Times New Roman"/>
          <w:lang w:val="id-ID"/>
        </w:rPr>
      </w:pPr>
      <w:r w:rsidRPr="007C66C0">
        <w:rPr>
          <w:rFonts w:ascii="Times New Roman" w:eastAsia="Calibri" w:hAnsi="Times New Roman" w:cs="Times New Roman"/>
          <w:lang w:val="id-ID"/>
        </w:rPr>
        <w:t>Putri, R. (2018). Persepsi dan Kepuasan Nasabah Bank Syariah di Indonesia. Jakarta: Penerbit Penelitian Ekonomi.</w:t>
      </w:r>
    </w:p>
    <w:p w14:paraId="58564F53" w14:textId="77777777" w:rsidR="007C66C0" w:rsidRPr="007C66C0" w:rsidRDefault="007C66C0" w:rsidP="006D05D2">
      <w:pPr>
        <w:spacing w:after="0"/>
        <w:ind w:left="426" w:hanging="426"/>
        <w:jc w:val="both"/>
        <w:rPr>
          <w:rFonts w:ascii="Times New Roman" w:eastAsia="Calibri" w:hAnsi="Times New Roman" w:cs="Times New Roman"/>
          <w:lang w:val="id-ID"/>
        </w:rPr>
      </w:pPr>
      <w:r w:rsidRPr="007C66C0">
        <w:rPr>
          <w:rFonts w:ascii="Times New Roman" w:eastAsia="Calibri" w:hAnsi="Times New Roman" w:cs="Times New Roman"/>
          <w:lang w:val="id-ID"/>
        </w:rPr>
        <w:t>Rahayu, T. (2020). Pengembangan Strategi Layanan Bank Syariah. Bandung: Penerbit Manajemen.</w:t>
      </w:r>
    </w:p>
    <w:p w14:paraId="022E0FF4" w14:textId="77777777" w:rsidR="007C66C0" w:rsidRPr="007C66C0" w:rsidRDefault="007C66C0" w:rsidP="006D05D2">
      <w:pPr>
        <w:spacing w:after="0"/>
        <w:ind w:left="426" w:hanging="426"/>
        <w:jc w:val="both"/>
        <w:rPr>
          <w:rFonts w:ascii="Times New Roman" w:eastAsia="Calibri" w:hAnsi="Times New Roman" w:cs="Times New Roman"/>
          <w:lang w:val="id-ID"/>
        </w:rPr>
      </w:pPr>
      <w:r w:rsidRPr="007C66C0">
        <w:rPr>
          <w:rFonts w:ascii="Times New Roman" w:eastAsia="Calibri" w:hAnsi="Times New Roman" w:cs="Times New Roman"/>
          <w:lang w:val="id-ID"/>
        </w:rPr>
        <w:t>Setiawan, Y. (2020). Faktor-faktor yang mempengaruhi kepuasan pelanggan di bank syariah. Yogyakarta: Penerbit Ekonomi.</w:t>
      </w:r>
    </w:p>
    <w:p w14:paraId="3C26AD3A" w14:textId="77777777" w:rsidR="007C66C0" w:rsidRPr="007C66C0" w:rsidRDefault="007C66C0" w:rsidP="006D05D2">
      <w:pPr>
        <w:spacing w:after="0"/>
        <w:ind w:left="426" w:hanging="426"/>
        <w:jc w:val="both"/>
        <w:rPr>
          <w:rFonts w:ascii="Times New Roman" w:eastAsia="Calibri" w:hAnsi="Times New Roman" w:cs="Times New Roman"/>
          <w:lang w:val="id-ID"/>
        </w:rPr>
      </w:pPr>
      <w:r w:rsidRPr="007C66C0">
        <w:rPr>
          <w:rFonts w:ascii="Times New Roman" w:eastAsia="Calibri" w:hAnsi="Times New Roman" w:cs="Times New Roman"/>
          <w:lang w:val="id-ID"/>
        </w:rPr>
        <w:t>Sutrisno, M. (2018). Ekspektasi layanan di kota besar: Studi kasus bank syariah. Jakarta: Penerbit Manajemen.</w:t>
      </w:r>
    </w:p>
    <w:p w14:paraId="32D05CA5" w14:textId="77777777" w:rsidR="007C66C0" w:rsidRPr="007C66C0" w:rsidRDefault="007C66C0" w:rsidP="006D05D2">
      <w:pPr>
        <w:spacing w:after="0"/>
        <w:ind w:left="426" w:hanging="426"/>
        <w:jc w:val="both"/>
        <w:rPr>
          <w:rFonts w:ascii="Times New Roman" w:eastAsia="Calibri" w:hAnsi="Times New Roman" w:cs="Times New Roman"/>
          <w:lang w:val="id-ID"/>
        </w:rPr>
      </w:pPr>
      <w:r w:rsidRPr="007C66C0">
        <w:rPr>
          <w:rFonts w:ascii="Times New Roman" w:eastAsia="Calibri" w:hAnsi="Times New Roman" w:cs="Times New Roman"/>
          <w:lang w:val="id-ID"/>
        </w:rPr>
        <w:t>Wahyu, P. (2019). Dimensi kualitas layanan dalam perbankan syariah. Malang: Penerbit Universitas Malang.</w:t>
      </w:r>
    </w:p>
    <w:p w14:paraId="6FC85549" w14:textId="7E7EF6DC" w:rsidR="00F64349" w:rsidRPr="00DC4619" w:rsidRDefault="007C66C0" w:rsidP="006D05D2">
      <w:pPr>
        <w:spacing w:after="0"/>
        <w:ind w:left="426" w:hanging="426"/>
        <w:jc w:val="both"/>
        <w:rPr>
          <w:rFonts w:ascii="Times New Roman" w:eastAsia="Calibri" w:hAnsi="Times New Roman" w:cs="Times New Roman"/>
          <w:lang w:val="id-ID"/>
        </w:rPr>
      </w:pPr>
      <w:r w:rsidRPr="007C66C0">
        <w:rPr>
          <w:rFonts w:ascii="Times New Roman" w:eastAsia="Calibri" w:hAnsi="Times New Roman" w:cs="Times New Roman"/>
          <w:lang w:val="id-ID"/>
        </w:rPr>
        <w:t>Wulandari, S. (2018). Perkembangan Bank Syariah di Kota Bandung. Bandung: Penerbit Ekonomi.</w:t>
      </w:r>
    </w:p>
    <w:sectPr w:rsidR="00F64349" w:rsidRPr="00DC4619" w:rsidSect="007C6F16">
      <w:headerReference w:type="default" r:id="rId12"/>
      <w:footerReference w:type="default" r:id="rId13"/>
      <w:headerReference w:type="first" r:id="rId14"/>
      <w:footerReference w:type="first" r:id="rId15"/>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48E07" w14:textId="77777777" w:rsidR="009A7931" w:rsidRDefault="009A7931" w:rsidP="00457035">
      <w:pPr>
        <w:spacing w:after="0" w:line="240" w:lineRule="auto"/>
      </w:pPr>
      <w:r>
        <w:separator/>
      </w:r>
    </w:p>
  </w:endnote>
  <w:endnote w:type="continuationSeparator" w:id="0">
    <w:p w14:paraId="208A64D0" w14:textId="77777777" w:rsidR="009A7931" w:rsidRDefault="009A7931" w:rsidP="00457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669191"/>
      <w:docPartObj>
        <w:docPartGallery w:val="Page Numbers (Bottom of Page)"/>
        <w:docPartUnique/>
      </w:docPartObj>
    </w:sdtPr>
    <w:sdtEndPr>
      <w:rPr>
        <w:noProof/>
      </w:rPr>
    </w:sdtEndPr>
    <w:sdtContent>
      <w:p w14:paraId="14FF95A2" w14:textId="77777777" w:rsidR="007C6F16" w:rsidRDefault="007C6F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1C2C6A" w14:textId="77777777" w:rsidR="007C6F16" w:rsidRDefault="007C6F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578174"/>
      <w:docPartObj>
        <w:docPartGallery w:val="Page Numbers (Bottom of Page)"/>
        <w:docPartUnique/>
      </w:docPartObj>
    </w:sdtPr>
    <w:sdtEndPr>
      <w:rPr>
        <w:noProof/>
      </w:rPr>
    </w:sdtEndPr>
    <w:sdtContent>
      <w:p w14:paraId="51B681B0" w14:textId="77777777" w:rsidR="00B02111" w:rsidRDefault="00B021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9A2ED4" w14:textId="77777777" w:rsidR="00B02111" w:rsidRDefault="00B02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C1D21" w14:textId="77777777" w:rsidR="009A7931" w:rsidRDefault="009A7931" w:rsidP="00457035">
      <w:pPr>
        <w:spacing w:after="0" w:line="240" w:lineRule="auto"/>
      </w:pPr>
      <w:r>
        <w:separator/>
      </w:r>
    </w:p>
  </w:footnote>
  <w:footnote w:type="continuationSeparator" w:id="0">
    <w:p w14:paraId="691693F6" w14:textId="77777777" w:rsidR="009A7931" w:rsidRDefault="009A7931" w:rsidP="00457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6C3DB" w14:textId="02E40FE2" w:rsidR="009646A2" w:rsidRDefault="002D1E02" w:rsidP="009646A2">
    <w:pPr>
      <w:pBdr>
        <w:bottom w:val="single" w:sz="4" w:space="0" w:color="auto"/>
      </w:pBdr>
      <w:spacing w:after="0" w:line="240" w:lineRule="auto"/>
      <w:ind w:right="-2"/>
      <w:rPr>
        <w:rFonts w:ascii="Times New Roman" w:eastAsia="Times New Roman" w:hAnsi="Times New Roman" w:cs="Times New Roman"/>
        <w:sz w:val="16"/>
        <w:szCs w:val="16"/>
        <w:lang w:val="en" w:eastAsia="tr-TR"/>
      </w:rPr>
    </w:pPr>
    <w:r>
      <w:rPr>
        <w:rFonts w:ascii="Times New Roman" w:eastAsia="Times New Roman" w:hAnsi="Times New Roman" w:cs="Times New Roman"/>
        <w:sz w:val="16"/>
        <w:szCs w:val="16"/>
        <w:lang w:val="id-ID" w:eastAsia="tr-TR"/>
      </w:rPr>
      <w:t>Penulis Pertama</w:t>
    </w:r>
    <w:r w:rsidR="009646A2" w:rsidRPr="007C6F16">
      <w:rPr>
        <w:rFonts w:ascii="Times New Roman" w:eastAsia="Times New Roman" w:hAnsi="Times New Roman" w:cs="Times New Roman"/>
        <w:sz w:val="16"/>
        <w:szCs w:val="16"/>
        <w:lang w:val="en-US" w:eastAsia="tr-TR"/>
      </w:rPr>
      <w:t xml:space="preserve">, </w:t>
    </w:r>
    <w:r>
      <w:rPr>
        <w:rFonts w:ascii="Times New Roman" w:eastAsia="Times New Roman" w:hAnsi="Times New Roman" w:cs="Times New Roman"/>
        <w:sz w:val="16"/>
        <w:szCs w:val="16"/>
        <w:lang w:val="id-ID" w:eastAsia="tr-TR"/>
      </w:rPr>
      <w:t>Penulis Kedua</w:t>
    </w:r>
    <w:r w:rsidR="0088327A">
      <w:rPr>
        <w:rFonts w:ascii="Times New Roman" w:eastAsia="Times New Roman" w:hAnsi="Times New Roman" w:cs="Times New Roman"/>
        <w:sz w:val="16"/>
        <w:szCs w:val="16"/>
        <w:lang w:val="id-ID" w:eastAsia="tr-TR"/>
      </w:rPr>
      <w:t>, dst</w:t>
    </w:r>
    <w:r w:rsidR="009646A2" w:rsidRPr="007C6F16">
      <w:rPr>
        <w:rFonts w:ascii="Times New Roman" w:eastAsia="Times New Roman" w:hAnsi="Times New Roman" w:cs="Times New Roman"/>
        <w:sz w:val="16"/>
        <w:szCs w:val="16"/>
        <w:lang w:val="en-US" w:eastAsia="tr-TR"/>
      </w:rPr>
      <w:t xml:space="preserve"> </w:t>
    </w:r>
    <w:r w:rsidR="009646A2" w:rsidRPr="007C6F16">
      <w:rPr>
        <w:rFonts w:ascii="Times New Roman" w:eastAsia="Times New Roman" w:hAnsi="Times New Roman" w:cs="Times New Roman"/>
        <w:sz w:val="16"/>
        <w:szCs w:val="16"/>
        <w:lang w:val="en" w:eastAsia="tr-TR"/>
      </w:rPr>
      <w:t>(</w:t>
    </w:r>
    <w:r w:rsidR="00900275">
      <w:rPr>
        <w:rFonts w:ascii="Times New Roman" w:eastAsia="Times New Roman" w:hAnsi="Times New Roman" w:cs="Times New Roman"/>
        <w:sz w:val="16"/>
        <w:szCs w:val="16"/>
        <w:lang w:val="id-ID" w:eastAsia="tr-TR"/>
      </w:rPr>
      <w:t>Tahun Terbit</w:t>
    </w:r>
    <w:r w:rsidR="009646A2" w:rsidRPr="007C6F16">
      <w:rPr>
        <w:rFonts w:ascii="Times New Roman" w:eastAsia="Times New Roman" w:hAnsi="Times New Roman" w:cs="Times New Roman"/>
        <w:sz w:val="16"/>
        <w:szCs w:val="16"/>
        <w:lang w:val="en" w:eastAsia="tr-TR"/>
      </w:rPr>
      <w:t xml:space="preserve">).  </w:t>
    </w:r>
  </w:p>
  <w:p w14:paraId="67D48CE3" w14:textId="6DEB39FF" w:rsidR="009646A2" w:rsidRPr="00311B6A" w:rsidRDefault="009646A2" w:rsidP="009646A2">
    <w:pPr>
      <w:pBdr>
        <w:bottom w:val="single" w:sz="4" w:space="0" w:color="auto"/>
      </w:pBdr>
      <w:spacing w:after="0" w:line="240" w:lineRule="auto"/>
      <w:ind w:right="-2"/>
      <w:rPr>
        <w:rFonts w:ascii="Times New Roman" w:eastAsia="Times New Roman" w:hAnsi="Times New Roman" w:cs="Times New Roman"/>
        <w:sz w:val="16"/>
        <w:szCs w:val="16"/>
        <w:lang w:val="id-ID" w:eastAsia="tr-TR"/>
      </w:rPr>
    </w:pPr>
    <w:r>
      <w:rPr>
        <w:rFonts w:ascii="Times New Roman" w:eastAsia="Times New Roman" w:hAnsi="Times New Roman" w:cs="Times New Roman"/>
        <w:sz w:val="16"/>
        <w:szCs w:val="16"/>
        <w:lang w:val="en" w:eastAsia="tr-TR"/>
      </w:rPr>
      <w:t xml:space="preserve">Fair </w:t>
    </w:r>
    <w:proofErr w:type="gramStart"/>
    <w:r>
      <w:rPr>
        <w:rFonts w:ascii="Times New Roman" w:eastAsia="Times New Roman" w:hAnsi="Times New Roman" w:cs="Times New Roman"/>
        <w:sz w:val="16"/>
        <w:szCs w:val="16"/>
        <w:lang w:val="en" w:eastAsia="tr-TR"/>
      </w:rPr>
      <w:t>Value :</w:t>
    </w:r>
    <w:proofErr w:type="gramEnd"/>
    <w:r>
      <w:rPr>
        <w:rFonts w:ascii="Times New Roman" w:eastAsia="Times New Roman" w:hAnsi="Times New Roman" w:cs="Times New Roman"/>
        <w:sz w:val="16"/>
        <w:szCs w:val="16"/>
        <w:lang w:val="en" w:eastAsia="tr-TR"/>
      </w:rPr>
      <w:t xml:space="preserve"> Jurnal Ilmiah Akuntansi dan Keuangan</w:t>
    </w:r>
    <w:r w:rsidRPr="007C6F16">
      <w:rPr>
        <w:rFonts w:ascii="Times New Roman" w:eastAsia="Times New Roman" w:hAnsi="Times New Roman" w:cs="Times New Roman"/>
        <w:sz w:val="16"/>
        <w:szCs w:val="16"/>
        <w:lang w:val="en" w:eastAsia="tr-TR"/>
      </w:rPr>
      <w:t xml:space="preserve">. Vol. </w:t>
    </w:r>
    <w:r w:rsidR="002D1E02">
      <w:rPr>
        <w:rFonts w:ascii="Times New Roman" w:eastAsia="Times New Roman" w:hAnsi="Times New Roman" w:cs="Times New Roman"/>
        <w:sz w:val="16"/>
        <w:szCs w:val="16"/>
        <w:lang w:val="id-ID" w:eastAsia="tr-TR"/>
      </w:rPr>
      <w:t>X</w:t>
    </w:r>
    <w:r>
      <w:rPr>
        <w:rFonts w:ascii="Times New Roman" w:eastAsia="Times New Roman" w:hAnsi="Times New Roman" w:cs="Times New Roman"/>
        <w:sz w:val="16"/>
        <w:szCs w:val="16"/>
        <w:lang w:val="en" w:eastAsia="tr-TR"/>
      </w:rPr>
      <w:t xml:space="preserve"> No. </w:t>
    </w:r>
    <w:r w:rsidR="002D1E02">
      <w:rPr>
        <w:rFonts w:ascii="Times New Roman" w:eastAsia="Times New Roman" w:hAnsi="Times New Roman" w:cs="Times New Roman"/>
        <w:sz w:val="16"/>
        <w:szCs w:val="16"/>
        <w:lang w:val="id-ID" w:eastAsia="tr-TR"/>
      </w:rPr>
      <w:t>X</w:t>
    </w:r>
    <w:r>
      <w:rPr>
        <w:rFonts w:ascii="Times New Roman" w:eastAsia="Times New Roman" w:hAnsi="Times New Roman" w:cs="Times New Roman"/>
        <w:sz w:val="16"/>
        <w:szCs w:val="16"/>
        <w:lang w:val="en" w:eastAsia="tr-TR"/>
      </w:rPr>
      <w:t xml:space="preserve"> </w:t>
    </w:r>
    <w:r w:rsidR="002D1E02">
      <w:rPr>
        <w:rFonts w:ascii="Times New Roman" w:eastAsia="Times New Roman" w:hAnsi="Times New Roman" w:cs="Times New Roman"/>
        <w:sz w:val="16"/>
        <w:szCs w:val="16"/>
        <w:lang w:val="id-ID" w:eastAsia="tr-TR"/>
      </w:rPr>
      <w:t>Bulan</w:t>
    </w:r>
    <w:r>
      <w:rPr>
        <w:rFonts w:ascii="Times New Roman" w:eastAsia="Times New Roman" w:hAnsi="Times New Roman" w:cs="Times New Roman"/>
        <w:sz w:val="16"/>
        <w:szCs w:val="16"/>
        <w:lang w:val="en" w:eastAsia="tr-TR"/>
      </w:rPr>
      <w:t xml:space="preserve"> </w:t>
    </w:r>
    <w:r w:rsidR="00900275">
      <w:rPr>
        <w:rFonts w:ascii="Times New Roman" w:eastAsia="Times New Roman" w:hAnsi="Times New Roman" w:cs="Times New Roman"/>
        <w:sz w:val="16"/>
        <w:szCs w:val="16"/>
        <w:lang w:val="id-ID" w:eastAsia="tr-TR"/>
      </w:rPr>
      <w:t>Tahun Terbit</w:t>
    </w:r>
  </w:p>
  <w:p w14:paraId="602DC29F" w14:textId="77777777" w:rsidR="009646A2" w:rsidRDefault="009646A2" w:rsidP="009646A2">
    <w:pPr>
      <w:pBdr>
        <w:bottom w:val="single" w:sz="4" w:space="0" w:color="auto"/>
      </w:pBdr>
      <w:spacing w:after="0" w:line="240" w:lineRule="auto"/>
      <w:ind w:right="-2"/>
      <w:rPr>
        <w:rFonts w:ascii="Times New Roman" w:eastAsia="Times New Roman" w:hAnsi="Times New Roman" w:cs="Times New Roman"/>
        <w:bCs/>
        <w:i/>
        <w:color w:val="000000"/>
        <w:sz w:val="16"/>
        <w:szCs w:val="20"/>
        <w:lang w:val="en-AU" w:eastAsia="tr-TR"/>
      </w:rPr>
    </w:pPr>
    <w:r w:rsidRPr="007C6F16">
      <w:rPr>
        <w:rFonts w:ascii="Times New Roman" w:eastAsia="Times New Roman" w:hAnsi="Times New Roman" w:cs="Times New Roman"/>
        <w:bCs/>
        <w:i/>
        <w:color w:val="000000"/>
        <w:sz w:val="16"/>
        <w:szCs w:val="20"/>
        <w:lang w:val="en-AU" w:eastAsia="tr-TR"/>
      </w:rPr>
      <w:t>P-ISSN: 2622-2191 E-</w:t>
    </w:r>
    <w:proofErr w:type="gramStart"/>
    <w:r w:rsidRPr="007C6F16">
      <w:rPr>
        <w:rFonts w:ascii="Times New Roman" w:eastAsia="Times New Roman" w:hAnsi="Times New Roman" w:cs="Times New Roman"/>
        <w:bCs/>
        <w:i/>
        <w:color w:val="000000"/>
        <w:sz w:val="16"/>
        <w:szCs w:val="20"/>
        <w:lang w:val="en-AU" w:eastAsia="tr-TR"/>
      </w:rPr>
      <w:t>ISSN :</w:t>
    </w:r>
    <w:proofErr w:type="gramEnd"/>
    <w:r w:rsidRPr="007C6F16">
      <w:rPr>
        <w:rFonts w:ascii="Times New Roman" w:eastAsia="Times New Roman" w:hAnsi="Times New Roman" w:cs="Times New Roman"/>
        <w:bCs/>
        <w:i/>
        <w:color w:val="000000"/>
        <w:sz w:val="16"/>
        <w:szCs w:val="20"/>
        <w:lang w:val="en-AU" w:eastAsia="tr-TR"/>
      </w:rPr>
      <w:t xml:space="preserve"> 2622-2205</w:t>
    </w:r>
  </w:p>
  <w:p w14:paraId="569025A7" w14:textId="77777777" w:rsidR="009646A2" w:rsidRPr="007C6F16" w:rsidRDefault="009646A2" w:rsidP="009646A2">
    <w:pPr>
      <w:pBdr>
        <w:bottom w:val="single" w:sz="4" w:space="0" w:color="auto"/>
      </w:pBdr>
      <w:spacing w:after="0" w:line="240" w:lineRule="auto"/>
      <w:ind w:right="-2"/>
      <w:rPr>
        <w:rFonts w:ascii="Times New Roman" w:eastAsia="Times New Roman" w:hAnsi="Times New Roman" w:cs="Times New Roman"/>
        <w:bCs/>
        <w:i/>
        <w:color w:val="000000"/>
        <w:sz w:val="4"/>
        <w:szCs w:val="4"/>
        <w:lang w:val="en-AU" w:eastAsia="tr-T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554E5" w14:textId="77777777" w:rsidR="005B571C" w:rsidRPr="00457035" w:rsidRDefault="005B571C" w:rsidP="005B571C">
    <w:pPr>
      <w:pBdr>
        <w:top w:val="single" w:sz="4" w:space="1" w:color="auto"/>
      </w:pBdr>
      <w:spacing w:after="0" w:line="240" w:lineRule="auto"/>
      <w:rPr>
        <w:rFonts w:ascii="Cambria" w:eastAsia="MS Mincho" w:hAnsi="Cambria" w:cs="Times New Roman"/>
        <w:sz w:val="14"/>
        <w:szCs w:val="14"/>
        <w:lang w:val="en-US"/>
      </w:rPr>
    </w:pPr>
    <w:r w:rsidRPr="00457035">
      <w:rPr>
        <w:rFonts w:ascii="Times New Roman" w:eastAsia="Times New Roman" w:hAnsi="Times New Roman" w:cs="Times New Roman"/>
        <w:noProof/>
        <w:sz w:val="24"/>
        <w:szCs w:val="20"/>
        <w:lang w:val="en-US"/>
      </w:rPr>
      <w:drawing>
        <wp:anchor distT="0" distB="0" distL="114300" distR="114300" simplePos="0" relativeHeight="251659264" behindDoc="0" locked="0" layoutInCell="1" allowOverlap="1" wp14:anchorId="5CB0B6B9" wp14:editId="025EC55B">
          <wp:simplePos x="0" y="0"/>
          <wp:positionH relativeFrom="column">
            <wp:posOffset>5286375</wp:posOffset>
          </wp:positionH>
          <wp:positionV relativeFrom="paragraph">
            <wp:posOffset>-19050</wp:posOffset>
          </wp:positionV>
          <wp:extent cx="533400" cy="704850"/>
          <wp:effectExtent l="0" t="0" r="0" b="0"/>
          <wp:wrapThrough wrapText="bothSides">
            <wp:wrapPolygon edited="0">
              <wp:start x="0" y="0"/>
              <wp:lineTo x="0" y="21016"/>
              <wp:lineTo x="20829" y="21016"/>
              <wp:lineTo x="2082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33400" cy="704850"/>
                  </a:xfrm>
                  <a:prstGeom prst="rect">
                    <a:avLst/>
                  </a:prstGeom>
                </pic:spPr>
              </pic:pic>
            </a:graphicData>
          </a:graphic>
          <wp14:sizeRelH relativeFrom="margin">
            <wp14:pctWidth>0</wp14:pctWidth>
          </wp14:sizeRelH>
          <wp14:sizeRelV relativeFrom="margin">
            <wp14:pctHeight>0</wp14:pctHeight>
          </wp14:sizeRelV>
        </wp:anchor>
      </w:drawing>
    </w:r>
  </w:p>
  <w:p w14:paraId="0E46D27A" w14:textId="77777777" w:rsidR="005B571C" w:rsidRPr="00457035" w:rsidRDefault="005B571C" w:rsidP="005B571C">
    <w:pPr>
      <w:pBdr>
        <w:top w:val="single" w:sz="4" w:space="1" w:color="auto"/>
      </w:pBdr>
      <w:spacing w:after="0" w:line="240" w:lineRule="auto"/>
      <w:rPr>
        <w:rFonts w:ascii="Cambria" w:eastAsia="MS Mincho" w:hAnsi="Cambria" w:cs="Times New Roman"/>
        <w:b/>
        <w:bCs/>
        <w:sz w:val="20"/>
        <w:szCs w:val="20"/>
        <w:lang w:val="en-US"/>
      </w:rPr>
    </w:pPr>
    <w:r>
      <w:rPr>
        <w:rFonts w:ascii="Cambria" w:eastAsia="MS Mincho" w:hAnsi="Cambria" w:cs="Times New Roman"/>
        <w:b/>
        <w:bCs/>
        <w:sz w:val="20"/>
        <w:szCs w:val="20"/>
        <w:lang w:val="en-US"/>
      </w:rPr>
      <w:t xml:space="preserve">Fair </w:t>
    </w:r>
    <w:proofErr w:type="gramStart"/>
    <w:r>
      <w:rPr>
        <w:rFonts w:ascii="Cambria" w:eastAsia="MS Mincho" w:hAnsi="Cambria" w:cs="Times New Roman"/>
        <w:b/>
        <w:bCs/>
        <w:sz w:val="20"/>
        <w:szCs w:val="20"/>
        <w:lang w:val="en-US"/>
      </w:rPr>
      <w:t>Value :</w:t>
    </w:r>
    <w:proofErr w:type="gramEnd"/>
    <w:r>
      <w:rPr>
        <w:rFonts w:ascii="Cambria" w:eastAsia="MS Mincho" w:hAnsi="Cambria" w:cs="Times New Roman"/>
        <w:b/>
        <w:bCs/>
        <w:sz w:val="20"/>
        <w:szCs w:val="20"/>
        <w:lang w:val="en-US"/>
      </w:rPr>
      <w:t xml:space="preserve"> Jurnal Ilmiah Akuntansi dan Keuangan</w:t>
    </w:r>
    <w:r w:rsidRPr="00457035">
      <w:rPr>
        <w:rFonts w:ascii="Times New Roman" w:eastAsia="Times New Roman" w:hAnsi="Times New Roman" w:cs="Times New Roman"/>
        <w:b/>
        <w:bCs/>
        <w:noProof/>
        <w:sz w:val="36"/>
        <w:szCs w:val="28"/>
        <w:lang w:val="en-AU" w:eastAsia="tr-TR"/>
      </w:rPr>
      <w:t xml:space="preserve"> </w:t>
    </w:r>
  </w:p>
  <w:p w14:paraId="4E053A68" w14:textId="2CC407FC" w:rsidR="005B571C" w:rsidRPr="00900275" w:rsidRDefault="005B571C" w:rsidP="005B571C">
    <w:pPr>
      <w:spacing w:after="0" w:line="240" w:lineRule="auto"/>
      <w:rPr>
        <w:rFonts w:ascii="Cambria" w:eastAsia="MS Mincho" w:hAnsi="Cambria" w:cs="Times New Roman"/>
        <w:sz w:val="14"/>
        <w:szCs w:val="14"/>
        <w:lang w:val="id-ID"/>
      </w:rPr>
    </w:pPr>
    <w:r w:rsidRPr="00457035">
      <w:rPr>
        <w:rFonts w:ascii="Cambria" w:eastAsia="MS Mincho" w:hAnsi="Cambria" w:cs="Times New Roman"/>
        <w:sz w:val="14"/>
        <w:szCs w:val="14"/>
        <w:lang w:val="en-US"/>
      </w:rPr>
      <w:t xml:space="preserve">Volume </w:t>
    </w:r>
    <w:r w:rsidR="002D1E02">
      <w:rPr>
        <w:rFonts w:ascii="Cambria" w:eastAsia="MS Mincho" w:hAnsi="Cambria" w:cs="Times New Roman"/>
        <w:sz w:val="14"/>
        <w:szCs w:val="14"/>
        <w:lang w:val="id-ID"/>
      </w:rPr>
      <w:t>X</w:t>
    </w:r>
    <w:r w:rsidRPr="00457035">
      <w:rPr>
        <w:rFonts w:ascii="Cambria" w:eastAsia="MS Mincho" w:hAnsi="Cambria" w:cs="Times New Roman"/>
        <w:sz w:val="14"/>
        <w:szCs w:val="14"/>
        <w:lang w:val="en-US"/>
      </w:rPr>
      <w:t xml:space="preserve">, Number </w:t>
    </w:r>
    <w:r w:rsidR="002D1E02">
      <w:rPr>
        <w:rFonts w:ascii="Cambria" w:eastAsia="MS Mincho" w:hAnsi="Cambria" w:cs="Times New Roman"/>
        <w:sz w:val="14"/>
        <w:szCs w:val="14"/>
        <w:lang w:val="id-ID"/>
      </w:rPr>
      <w:t>X</w:t>
    </w:r>
    <w:r w:rsidRPr="00457035">
      <w:rPr>
        <w:rFonts w:ascii="Cambria" w:eastAsia="MS Mincho" w:hAnsi="Cambria" w:cs="Times New Roman"/>
        <w:sz w:val="14"/>
        <w:szCs w:val="14"/>
        <w:lang w:val="en-US"/>
      </w:rPr>
      <w:t xml:space="preserve">, </w:t>
    </w:r>
    <w:r w:rsidR="00900275">
      <w:rPr>
        <w:rFonts w:ascii="Cambria" w:eastAsia="MS Mincho" w:hAnsi="Cambria" w:cs="Times New Roman"/>
        <w:sz w:val="14"/>
        <w:szCs w:val="14"/>
        <w:lang w:val="id-ID"/>
      </w:rPr>
      <w:t>Tahun Terbit</w:t>
    </w:r>
  </w:p>
  <w:p w14:paraId="399E8871" w14:textId="77777777" w:rsidR="005B571C" w:rsidRPr="00457035" w:rsidRDefault="005B571C" w:rsidP="005B571C">
    <w:pPr>
      <w:spacing w:after="0" w:line="240" w:lineRule="auto"/>
      <w:rPr>
        <w:rFonts w:ascii="Cambria" w:eastAsia="MS Mincho" w:hAnsi="Cambria" w:cs="Times New Roman"/>
        <w:sz w:val="14"/>
        <w:szCs w:val="14"/>
        <w:lang w:val="en-US"/>
      </w:rPr>
    </w:pPr>
    <w:r w:rsidRPr="00457035">
      <w:rPr>
        <w:rFonts w:ascii="Cambria" w:eastAsia="MS Mincho" w:hAnsi="Cambria" w:cs="Times New Roman"/>
        <w:sz w:val="14"/>
        <w:szCs w:val="14"/>
        <w:lang w:val="en-US"/>
      </w:rPr>
      <w:t>P-ISSN: 2622-2191 E-</w:t>
    </w:r>
    <w:proofErr w:type="gramStart"/>
    <w:r w:rsidRPr="00457035">
      <w:rPr>
        <w:rFonts w:ascii="Cambria" w:eastAsia="MS Mincho" w:hAnsi="Cambria" w:cs="Times New Roman"/>
        <w:sz w:val="14"/>
        <w:szCs w:val="14"/>
        <w:lang w:val="en-US"/>
      </w:rPr>
      <w:t>ISSN :</w:t>
    </w:r>
    <w:proofErr w:type="gramEnd"/>
    <w:r w:rsidRPr="00457035">
      <w:rPr>
        <w:rFonts w:ascii="Cambria" w:eastAsia="MS Mincho" w:hAnsi="Cambria" w:cs="Times New Roman"/>
        <w:sz w:val="14"/>
        <w:szCs w:val="14"/>
        <w:lang w:val="en-US"/>
      </w:rPr>
      <w:t xml:space="preserve"> 2622-2205</w:t>
    </w:r>
  </w:p>
  <w:p w14:paraId="11E516AB" w14:textId="77777777" w:rsidR="005B571C" w:rsidRPr="00457035" w:rsidRDefault="005B571C" w:rsidP="005B571C">
    <w:pPr>
      <w:pBdr>
        <w:bottom w:val="single" w:sz="12" w:space="1" w:color="auto"/>
      </w:pBdr>
      <w:spacing w:after="0" w:line="240" w:lineRule="auto"/>
      <w:rPr>
        <w:rFonts w:ascii="Cambria" w:eastAsia="MS Mincho" w:hAnsi="Cambria" w:cs="Times New Roman"/>
        <w:sz w:val="14"/>
        <w:szCs w:val="14"/>
        <w:lang w:val="en-US"/>
      </w:rPr>
    </w:pPr>
    <w:r w:rsidRPr="00457035">
      <w:rPr>
        <w:rFonts w:ascii="Cambria" w:eastAsia="MS Mincho" w:hAnsi="Cambria" w:cs="Times New Roman"/>
        <w:sz w:val="14"/>
        <w:szCs w:val="14"/>
        <w:lang w:val="en-US"/>
      </w:rPr>
      <w:t xml:space="preserve">Open Access: </w:t>
    </w:r>
    <w:r w:rsidRPr="00457035">
      <w:rPr>
        <w:rFonts w:ascii="Cambria" w:eastAsia="MS Mincho" w:hAnsi="Cambria" w:cs="Times New Roman"/>
        <w:color w:val="0070C0"/>
        <w:sz w:val="14"/>
        <w:szCs w:val="14"/>
        <w:lang w:val="en-US"/>
      </w:rPr>
      <w:t>https://journal.ikopin.ac.id/index.php/fairvalue</w:t>
    </w:r>
  </w:p>
  <w:p w14:paraId="1CA359C4" w14:textId="77777777" w:rsidR="005B571C" w:rsidRPr="00457035" w:rsidRDefault="005B571C" w:rsidP="005B571C">
    <w:pPr>
      <w:pBdr>
        <w:bottom w:val="single" w:sz="12" w:space="1" w:color="auto"/>
      </w:pBdr>
      <w:spacing w:after="0" w:line="240" w:lineRule="auto"/>
      <w:rPr>
        <w:rFonts w:ascii="Cambria" w:eastAsia="MS Mincho" w:hAnsi="Cambria" w:cs="Times New Roman"/>
        <w:sz w:val="8"/>
        <w:szCs w:val="8"/>
        <w:lang w:val="en-US"/>
      </w:rPr>
    </w:pPr>
  </w:p>
  <w:p w14:paraId="41B77E28" w14:textId="77777777" w:rsidR="005B571C" w:rsidRDefault="005B571C" w:rsidP="005B57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4FD"/>
    <w:multiLevelType w:val="hybridMultilevel"/>
    <w:tmpl w:val="AC16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9E7941"/>
    <w:multiLevelType w:val="hybridMultilevel"/>
    <w:tmpl w:val="1624C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3EA2FE2"/>
    <w:multiLevelType w:val="hybridMultilevel"/>
    <w:tmpl w:val="680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965A71"/>
    <w:multiLevelType w:val="hybridMultilevel"/>
    <w:tmpl w:val="DF8A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1132BF"/>
    <w:multiLevelType w:val="hybridMultilevel"/>
    <w:tmpl w:val="0858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035"/>
    <w:rsid w:val="00047845"/>
    <w:rsid w:val="00093F58"/>
    <w:rsid w:val="000B16AA"/>
    <w:rsid w:val="000C1A84"/>
    <w:rsid w:val="00103CEA"/>
    <w:rsid w:val="0014044B"/>
    <w:rsid w:val="001641AD"/>
    <w:rsid w:val="00245EB5"/>
    <w:rsid w:val="0025269E"/>
    <w:rsid w:val="002722C7"/>
    <w:rsid w:val="002932DB"/>
    <w:rsid w:val="002B7942"/>
    <w:rsid w:val="002D1D24"/>
    <w:rsid w:val="002D1E02"/>
    <w:rsid w:val="002E3A6B"/>
    <w:rsid w:val="00311B6A"/>
    <w:rsid w:val="00394793"/>
    <w:rsid w:val="003B6AB4"/>
    <w:rsid w:val="00415183"/>
    <w:rsid w:val="004260A5"/>
    <w:rsid w:val="00440BD2"/>
    <w:rsid w:val="0044326A"/>
    <w:rsid w:val="00457035"/>
    <w:rsid w:val="004638EA"/>
    <w:rsid w:val="00474E72"/>
    <w:rsid w:val="004D705A"/>
    <w:rsid w:val="00511F77"/>
    <w:rsid w:val="00525E1E"/>
    <w:rsid w:val="00591FAF"/>
    <w:rsid w:val="00592920"/>
    <w:rsid w:val="00596FC4"/>
    <w:rsid w:val="005B0110"/>
    <w:rsid w:val="005B571C"/>
    <w:rsid w:val="005E3CBA"/>
    <w:rsid w:val="006414D6"/>
    <w:rsid w:val="006564E5"/>
    <w:rsid w:val="006A0F45"/>
    <w:rsid w:val="006C31E7"/>
    <w:rsid w:val="006D05D2"/>
    <w:rsid w:val="006E41BF"/>
    <w:rsid w:val="00710833"/>
    <w:rsid w:val="0071739B"/>
    <w:rsid w:val="00740C35"/>
    <w:rsid w:val="007531DA"/>
    <w:rsid w:val="007B7EAF"/>
    <w:rsid w:val="007C66C0"/>
    <w:rsid w:val="007C6F16"/>
    <w:rsid w:val="007E5B85"/>
    <w:rsid w:val="00804352"/>
    <w:rsid w:val="0080575B"/>
    <w:rsid w:val="00874297"/>
    <w:rsid w:val="00875A05"/>
    <w:rsid w:val="0088327A"/>
    <w:rsid w:val="008A6425"/>
    <w:rsid w:val="008B57FD"/>
    <w:rsid w:val="008E495B"/>
    <w:rsid w:val="008E4B24"/>
    <w:rsid w:val="00900275"/>
    <w:rsid w:val="009279AF"/>
    <w:rsid w:val="0095564C"/>
    <w:rsid w:val="009646A2"/>
    <w:rsid w:val="00995F6D"/>
    <w:rsid w:val="009A4014"/>
    <w:rsid w:val="009A7931"/>
    <w:rsid w:val="009E73EE"/>
    <w:rsid w:val="00A11140"/>
    <w:rsid w:val="00A22079"/>
    <w:rsid w:val="00A3115E"/>
    <w:rsid w:val="00A73A3B"/>
    <w:rsid w:val="00AD1F9F"/>
    <w:rsid w:val="00AE3D6B"/>
    <w:rsid w:val="00B02111"/>
    <w:rsid w:val="00B32B19"/>
    <w:rsid w:val="00BC4362"/>
    <w:rsid w:val="00BF633D"/>
    <w:rsid w:val="00C25554"/>
    <w:rsid w:val="00C47EFD"/>
    <w:rsid w:val="00C8170D"/>
    <w:rsid w:val="00C96A68"/>
    <w:rsid w:val="00CA0F57"/>
    <w:rsid w:val="00CA371A"/>
    <w:rsid w:val="00D028C8"/>
    <w:rsid w:val="00D20EBB"/>
    <w:rsid w:val="00D2636B"/>
    <w:rsid w:val="00D848C9"/>
    <w:rsid w:val="00D84A78"/>
    <w:rsid w:val="00D875CE"/>
    <w:rsid w:val="00D91D01"/>
    <w:rsid w:val="00D974A0"/>
    <w:rsid w:val="00DA1166"/>
    <w:rsid w:val="00DB0A30"/>
    <w:rsid w:val="00DB34CF"/>
    <w:rsid w:val="00DC4619"/>
    <w:rsid w:val="00DC6FD5"/>
    <w:rsid w:val="00DE2D4C"/>
    <w:rsid w:val="00E01772"/>
    <w:rsid w:val="00E13D22"/>
    <w:rsid w:val="00E21056"/>
    <w:rsid w:val="00E3540C"/>
    <w:rsid w:val="00E366CE"/>
    <w:rsid w:val="00E80B5C"/>
    <w:rsid w:val="00E86B2B"/>
    <w:rsid w:val="00E90E0D"/>
    <w:rsid w:val="00ED2FAF"/>
    <w:rsid w:val="00F32BD8"/>
    <w:rsid w:val="00F407ED"/>
    <w:rsid w:val="00F415C2"/>
    <w:rsid w:val="00F62A30"/>
    <w:rsid w:val="00F64349"/>
    <w:rsid w:val="00F874F1"/>
    <w:rsid w:val="00FD007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183AB"/>
  <w15:chartTrackingRefBased/>
  <w15:docId w15:val="{6913FC8C-5AC1-426B-819F-B1E88019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4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0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035"/>
  </w:style>
  <w:style w:type="paragraph" w:styleId="Footer">
    <w:name w:val="footer"/>
    <w:basedOn w:val="Normal"/>
    <w:link w:val="FooterChar"/>
    <w:uiPriority w:val="99"/>
    <w:unhideWhenUsed/>
    <w:rsid w:val="004570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035"/>
  </w:style>
  <w:style w:type="character" w:styleId="Hyperlink">
    <w:name w:val="Hyperlink"/>
    <w:basedOn w:val="DefaultParagraphFont"/>
    <w:uiPriority w:val="99"/>
    <w:unhideWhenUsed/>
    <w:rsid w:val="00457035"/>
    <w:rPr>
      <w:color w:val="0563C1" w:themeColor="hyperlink"/>
      <w:u w:val="single"/>
    </w:rPr>
  </w:style>
  <w:style w:type="character" w:styleId="UnresolvedMention">
    <w:name w:val="Unresolved Mention"/>
    <w:basedOn w:val="DefaultParagraphFont"/>
    <w:uiPriority w:val="99"/>
    <w:semiHidden/>
    <w:unhideWhenUsed/>
    <w:rsid w:val="00457035"/>
    <w:rPr>
      <w:color w:val="605E5C"/>
      <w:shd w:val="clear" w:color="auto" w:fill="E1DFDD"/>
    </w:rPr>
  </w:style>
  <w:style w:type="table" w:customStyle="1" w:styleId="TableGrid1">
    <w:name w:val="Table Grid1"/>
    <w:basedOn w:val="TableNormal"/>
    <w:next w:val="TableGrid"/>
    <w:rsid w:val="00457035"/>
    <w:pPr>
      <w:spacing w:after="0" w:line="240" w:lineRule="auto"/>
    </w:pPr>
    <w:rPr>
      <w:rFonts w:ascii="Times New Roman" w:eastAsia="Times New Roman" w:hAnsi="Times New Roman"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457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11">
    <w:name w:val="Medium List 11"/>
    <w:basedOn w:val="TableNormal"/>
    <w:uiPriority w:val="65"/>
    <w:rsid w:val="007C6F16"/>
    <w:pPr>
      <w:spacing w:after="0" w:line="240" w:lineRule="auto"/>
    </w:pPr>
    <w:rPr>
      <w:color w:val="000000"/>
      <w:lang w:val="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BalloonText">
    <w:name w:val="Balloon Text"/>
    <w:basedOn w:val="Normal"/>
    <w:link w:val="BalloonTextChar"/>
    <w:uiPriority w:val="99"/>
    <w:semiHidden/>
    <w:unhideWhenUsed/>
    <w:rsid w:val="00A22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0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2983">
      <w:bodyDiv w:val="1"/>
      <w:marLeft w:val="0"/>
      <w:marRight w:val="0"/>
      <w:marTop w:val="0"/>
      <w:marBottom w:val="0"/>
      <w:divBdr>
        <w:top w:val="none" w:sz="0" w:space="0" w:color="auto"/>
        <w:left w:val="none" w:sz="0" w:space="0" w:color="auto"/>
        <w:bottom w:val="none" w:sz="0" w:space="0" w:color="auto"/>
        <w:right w:val="none" w:sz="0" w:space="0" w:color="auto"/>
      </w:divBdr>
    </w:div>
    <w:div w:id="663053334">
      <w:bodyDiv w:val="1"/>
      <w:marLeft w:val="0"/>
      <w:marRight w:val="0"/>
      <w:marTop w:val="0"/>
      <w:marBottom w:val="0"/>
      <w:divBdr>
        <w:top w:val="none" w:sz="0" w:space="0" w:color="auto"/>
        <w:left w:val="none" w:sz="0" w:space="0" w:color="auto"/>
        <w:bottom w:val="none" w:sz="0" w:space="0" w:color="auto"/>
        <w:right w:val="none" w:sz="0" w:space="0" w:color="auto"/>
      </w:divBdr>
    </w:div>
    <w:div w:id="1869440274">
      <w:bodyDiv w:val="1"/>
      <w:marLeft w:val="0"/>
      <w:marRight w:val="0"/>
      <w:marTop w:val="0"/>
      <w:marBottom w:val="0"/>
      <w:divBdr>
        <w:top w:val="none" w:sz="0" w:space="0" w:color="auto"/>
        <w:left w:val="none" w:sz="0" w:space="0" w:color="auto"/>
        <w:bottom w:val="none" w:sz="0" w:space="0" w:color="auto"/>
        <w:right w:val="none" w:sz="0" w:space="0" w:color="auto"/>
      </w:divBdr>
    </w:div>
    <w:div w:id="209828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grahaadhi007@e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yana.asupriatna@gmail.com" TargetMode="External"/><Relationship Id="rId4" Type="http://schemas.openxmlformats.org/officeDocument/2006/relationships/settings" Target="settings.xml"/><Relationship Id="rId9" Type="http://schemas.openxmlformats.org/officeDocument/2006/relationships/hyperlink" Target="mailto:lailirahmawati@gmail.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7636B-E266-4BEB-8E51-1C8A4BE08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1739</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Fahrizal Azima</cp:lastModifiedBy>
  <cp:revision>18</cp:revision>
  <cp:lastPrinted>2022-03-12T09:30:00Z</cp:lastPrinted>
  <dcterms:created xsi:type="dcterms:W3CDTF">2024-12-16T06:03:00Z</dcterms:created>
  <dcterms:modified xsi:type="dcterms:W3CDTF">2024-12-16T08:44:00Z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876e4f16-579a-3616-bb73-5a99373a672d</vt:lpwstr>
  </property>
  <property fmtid="{D5CDD505-2E9C-101B-9397-08002B2CF9AE}" pid="24" name="Mendeley Citation Style_1">
    <vt:lpwstr>http://www.zotero.org/styles/apa</vt:lpwstr>
  </property>
</Properties>
</file>