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A04124" w14:paraId="18E24D17" w14:textId="77777777" w:rsidTr="007C74DC">
        <w:trPr>
          <w:trHeight w:val="1995"/>
        </w:trPr>
        <w:tc>
          <w:tcPr>
            <w:tcW w:w="236" w:type="dxa"/>
            <w:shd w:val="clear" w:color="auto" w:fill="auto"/>
          </w:tcPr>
          <w:p w14:paraId="6F10E994" w14:textId="0AF9321C" w:rsidR="001F70DF" w:rsidRPr="00A04124" w:rsidRDefault="001F70DF" w:rsidP="00F84A14">
            <w:pPr>
              <w:rPr>
                <w:rFonts w:ascii="Palatino Linotype" w:hAnsi="Palatino Linotype" w:cstheme="majorBidi"/>
                <w:b/>
                <w:sz w:val="22"/>
                <w:szCs w:val="22"/>
              </w:rPr>
            </w:pPr>
          </w:p>
        </w:tc>
        <w:tc>
          <w:tcPr>
            <w:tcW w:w="7775" w:type="dxa"/>
            <w:shd w:val="clear" w:color="auto" w:fill="auto"/>
          </w:tcPr>
          <w:p w14:paraId="2F6D97BC" w14:textId="6C242A7F" w:rsidR="00072BFA" w:rsidRPr="00A04124" w:rsidRDefault="006D13FF" w:rsidP="006D13FF">
            <w:pPr>
              <w:jc w:val="center"/>
              <w:rPr>
                <w:rFonts w:ascii="Palatino Linotype" w:hAnsi="Palatino Linotype" w:cstheme="majorBidi"/>
                <w:b/>
              </w:rPr>
            </w:pPr>
            <w:r w:rsidRPr="00A04124">
              <w:rPr>
                <w:rFonts w:ascii="Palatino Linotype" w:hAnsi="Palatino Linotype"/>
                <w:b/>
                <w:sz w:val="24"/>
                <w:szCs w:val="24"/>
              </w:rPr>
              <w:t>Efektivitas Pengelolaan Dana Wakaf Produktif dalam Meningkatkan Kesejahteraan Masyarakat</w:t>
            </w:r>
          </w:p>
          <w:p w14:paraId="7B432F52" w14:textId="427F495D" w:rsidR="00335968" w:rsidRPr="00A04124" w:rsidRDefault="00335968" w:rsidP="00335968">
            <w:pPr>
              <w:contextualSpacing/>
              <w:rPr>
                <w:rFonts w:ascii="Palatino Linotype" w:hAnsi="Palatino Linotype"/>
                <w:b/>
                <w:bCs/>
                <w:lang w:val="en-ID"/>
              </w:rPr>
            </w:pPr>
          </w:p>
          <w:p w14:paraId="201F6872" w14:textId="77777777" w:rsidR="006D13FF" w:rsidRPr="00A04124" w:rsidRDefault="006D13FF" w:rsidP="00335968">
            <w:pPr>
              <w:contextualSpacing/>
              <w:rPr>
                <w:rFonts w:ascii="Palatino Linotype" w:hAnsi="Palatino Linotype"/>
                <w:b/>
                <w:bCs/>
                <w:lang w:val="en-ID"/>
              </w:rPr>
            </w:pPr>
          </w:p>
          <w:p w14:paraId="52A06817" w14:textId="7555DC50" w:rsidR="00335968" w:rsidRPr="00A04124" w:rsidRDefault="006D13FF" w:rsidP="00335968">
            <w:pPr>
              <w:contextualSpacing/>
              <w:rPr>
                <w:rFonts w:ascii="Palatino Linotype" w:hAnsi="Palatino Linotype"/>
                <w:b/>
                <w:bCs/>
                <w:lang w:val="en-ID"/>
              </w:rPr>
            </w:pPr>
            <w:r w:rsidRPr="00A04124">
              <w:rPr>
                <w:rFonts w:ascii="Palatino Linotype" w:hAnsi="Palatino Linotype"/>
                <w:b/>
                <w:bCs/>
                <w:lang w:val="en-ID"/>
              </w:rPr>
              <w:t>Adhi Nugraha</w:t>
            </w:r>
            <w:r w:rsidR="00335968" w:rsidRPr="00A50606">
              <w:rPr>
                <w:rFonts w:ascii="Palatino Linotype" w:hAnsi="Palatino Linotype"/>
                <w:b/>
                <w:bCs/>
                <w:vertAlign w:val="superscript"/>
                <w:lang w:val="en-ID"/>
              </w:rPr>
              <w:t>1</w:t>
            </w:r>
            <w:r w:rsidR="00335968" w:rsidRPr="00A04124">
              <w:rPr>
                <w:rFonts w:ascii="Palatino Linotype" w:hAnsi="Palatino Linotype"/>
                <w:b/>
                <w:bCs/>
                <w:lang w:val="en-ID"/>
              </w:rPr>
              <w:t xml:space="preserve">, </w:t>
            </w:r>
            <w:r w:rsidRPr="00A04124">
              <w:rPr>
                <w:rFonts w:ascii="Palatino Linotype" w:hAnsi="Palatino Linotype"/>
                <w:b/>
                <w:bCs/>
                <w:lang w:val="en-ID"/>
              </w:rPr>
              <w:t>Teti Sunarti</w:t>
            </w:r>
            <w:r w:rsidR="00335968" w:rsidRPr="00A50606">
              <w:rPr>
                <w:rFonts w:ascii="Palatino Linotype" w:hAnsi="Palatino Linotype"/>
                <w:b/>
                <w:bCs/>
                <w:vertAlign w:val="superscript"/>
                <w:lang w:val="en-ID"/>
              </w:rPr>
              <w:t>2</w:t>
            </w:r>
            <w:r w:rsidR="00335968" w:rsidRPr="00A04124">
              <w:rPr>
                <w:rFonts w:ascii="Palatino Linotype" w:hAnsi="Palatino Linotype"/>
                <w:b/>
                <w:bCs/>
                <w:lang w:val="en-ID"/>
              </w:rPr>
              <w:t xml:space="preserve">, </w:t>
            </w:r>
            <w:r w:rsidRPr="00A04124">
              <w:rPr>
                <w:rFonts w:ascii="Palatino Linotype" w:hAnsi="Palatino Linotype"/>
                <w:b/>
                <w:bCs/>
                <w:lang w:val="en-ID"/>
              </w:rPr>
              <w:t>Hendra Jaya</w:t>
            </w:r>
            <w:r w:rsidR="00335968" w:rsidRPr="00A50606">
              <w:rPr>
                <w:rFonts w:ascii="Palatino Linotype" w:hAnsi="Palatino Linotype"/>
                <w:b/>
                <w:bCs/>
                <w:vertAlign w:val="superscript"/>
                <w:lang w:val="en-ID"/>
              </w:rPr>
              <w:t>3</w:t>
            </w:r>
          </w:p>
          <w:p w14:paraId="7B662690" w14:textId="4270E065" w:rsidR="00CB4F3D" w:rsidRPr="00A04124" w:rsidRDefault="00335968" w:rsidP="00A83A03">
            <w:pPr>
              <w:contextualSpacing/>
              <w:rPr>
                <w:rFonts w:ascii="Palatino Linotype" w:hAnsi="Palatino Linotype"/>
                <w:lang w:val="pt-BR"/>
              </w:rPr>
            </w:pPr>
            <w:r w:rsidRPr="00A04124">
              <w:rPr>
                <w:rFonts w:ascii="Palatino Linotype" w:hAnsi="Palatino Linotype"/>
                <w:vertAlign w:val="superscript"/>
                <w:lang w:val="pt-BR"/>
              </w:rPr>
              <w:t>1,</w:t>
            </w:r>
            <w:r w:rsidR="006D13FF" w:rsidRPr="00A04124">
              <w:rPr>
                <w:rFonts w:ascii="Palatino Linotype" w:hAnsi="Palatino Linotype"/>
                <w:vertAlign w:val="superscript"/>
                <w:lang w:val="pt-BR"/>
              </w:rPr>
              <w:t>2,</w:t>
            </w:r>
            <w:r w:rsidRPr="00A04124">
              <w:rPr>
                <w:rFonts w:ascii="Palatino Linotype" w:hAnsi="Palatino Linotype"/>
                <w:vertAlign w:val="superscript"/>
                <w:lang w:val="pt-BR"/>
              </w:rPr>
              <w:t>3</w:t>
            </w:r>
            <w:r w:rsidRPr="00A04124">
              <w:rPr>
                <w:rFonts w:ascii="Palatino Linotype" w:hAnsi="Palatino Linotype"/>
                <w:lang w:val="pt-BR"/>
              </w:rPr>
              <w:t xml:space="preserve"> </w:t>
            </w:r>
            <w:r w:rsidR="006D13FF" w:rsidRPr="00A04124">
              <w:rPr>
                <w:rFonts w:ascii="Palatino Linotype" w:hAnsi="Palatino Linotype"/>
                <w:lang w:val="pt-BR"/>
              </w:rPr>
              <w:t>Sekolah Tinggi Ekonomi dan Bisnis Islam Al Jabar Bandung</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A04124" w14:paraId="00EC74F2" w14:textId="77777777" w:rsidTr="00D47C77">
        <w:tc>
          <w:tcPr>
            <w:tcW w:w="250" w:type="dxa"/>
          </w:tcPr>
          <w:p w14:paraId="0568784F" w14:textId="4725CF58" w:rsidR="00C75610" w:rsidRPr="00A04124" w:rsidRDefault="00C75610" w:rsidP="00F84A14">
            <w:pPr>
              <w:spacing w:after="0" w:line="240" w:lineRule="auto"/>
              <w:jc w:val="both"/>
              <w:rPr>
                <w:rFonts w:ascii="Palatino Linotype" w:eastAsia="Times New Roman" w:hAnsi="Palatino Linotype" w:cstheme="majorBidi"/>
                <w:b/>
                <w:color w:val="4F6228" w:themeColor="accent3" w:themeShade="80"/>
                <w:lang w:val="pt-BR"/>
              </w:rPr>
            </w:pPr>
          </w:p>
        </w:tc>
        <w:tc>
          <w:tcPr>
            <w:tcW w:w="7778" w:type="dxa"/>
          </w:tcPr>
          <w:p w14:paraId="5BF1D74B" w14:textId="75F4761F" w:rsidR="00E14C15" w:rsidRPr="00A04124" w:rsidRDefault="00E14C15" w:rsidP="00E14C15">
            <w:pPr>
              <w:spacing w:after="120" w:line="285" w:lineRule="auto"/>
              <w:jc w:val="center"/>
              <w:rPr>
                <w:rFonts w:ascii="Palatino Linotype" w:eastAsia="Times New Roman" w:hAnsi="Palatino Linotype" w:cs="Times New Roman"/>
                <w:b/>
                <w:bCs/>
                <w:color w:val="0070C0"/>
                <w:kern w:val="28"/>
                <w:sz w:val="20"/>
                <w:szCs w:val="20"/>
                <w:lang w:eastAsia="en-US"/>
                <w14:ligatures w14:val="standard"/>
                <w14:cntxtAlts/>
              </w:rPr>
            </w:pPr>
            <w:r w:rsidRPr="00A04124">
              <w:rPr>
                <w:rFonts w:ascii="Palatino Linotype" w:eastAsia="Times New Roman" w:hAnsi="Palatino Linotype" w:cs="Times New Roman"/>
                <w:b/>
                <w:color w:val="0070C0"/>
                <w:kern w:val="28"/>
                <w:sz w:val="20"/>
                <w:szCs w:val="20"/>
                <w:lang w:eastAsia="en-US"/>
                <w14:ligatures w14:val="standard"/>
                <w14:cntxtAlts/>
              </w:rPr>
              <w:t>Abstrak</w:t>
            </w:r>
          </w:p>
          <w:p w14:paraId="0D6B80DA" w14:textId="1B2699B9" w:rsidR="00335968" w:rsidRPr="00A04124" w:rsidRDefault="00E914E0" w:rsidP="007C74DC">
            <w:pPr>
              <w:pStyle w:val="BodyText"/>
              <w:ind w:left="28" w:right="302"/>
              <w:contextualSpacing/>
              <w:jc w:val="both"/>
              <w:rPr>
                <w:rFonts w:ascii="Palatino Linotype" w:eastAsia="Times New Roman" w:hAnsi="Palatino Linotype" w:cs="Times New Roman"/>
                <w:bCs/>
                <w:lang w:val="id-ID"/>
              </w:rPr>
            </w:pPr>
            <w:r w:rsidRPr="00A04124">
              <w:rPr>
                <w:rFonts w:ascii="Palatino Linotype" w:eastAsia="Times New Roman" w:hAnsi="Palatino Linotype" w:cs="Times New Roman"/>
                <w:bCs/>
                <w:lang w:val="id-ID"/>
              </w:rPr>
              <w:t>Penelitian ini bertujuan untuk mengevaluasi efektivitas pengelolaan dana wakaf produktif dalam meningkatkan kesejahteraan masyarakat, dengan menggunakan metode penelitian kuantitatif. Dana wakaf produktif memiliki potensi besar dalam meningkatkan taraf hidup masyarakat, terutama di kalangan kelompok kurang mampu. Penelitian ini melibatkan analisis terhadap implementasi dana wakaf yang diinvestasikan dalam sektor ekonomi produktif, seperti pendidikan, kesehatan, dan usaha mikro. Data dikumpulkan melalui survei terhadap penerima manfaat dan lembaga pengelola wakaf. Hasil penelitian menunjukkan adanya peningkatan yang signifikan dalam kesejahteraan masyarakat, yang diukur berdasarkan indikator ekonomi, pendidikan, dan kesehatan. Penelitian ini menyarankan untuk meningkatkan efektivitas pengelolaan dana wakaf melalui transparansi dan akuntabilitas dalam pengelolaan serta diversifikasi investasi wakaf yang lebih luas.</w:t>
            </w:r>
          </w:p>
          <w:p w14:paraId="32E402A8" w14:textId="77777777" w:rsidR="00E914E0" w:rsidRPr="00A04124" w:rsidRDefault="00E914E0" w:rsidP="007C74DC">
            <w:pPr>
              <w:pStyle w:val="BodyText"/>
              <w:ind w:left="28" w:right="302"/>
              <w:contextualSpacing/>
              <w:jc w:val="both"/>
              <w:rPr>
                <w:rFonts w:ascii="Palatino Linotype" w:eastAsia="Times New Roman" w:hAnsi="Palatino Linotype" w:cs="Times New Roman"/>
                <w:b/>
                <w:highlight w:val="white"/>
                <w:lang w:val="id-ID"/>
              </w:rPr>
            </w:pPr>
          </w:p>
          <w:p w14:paraId="69DFEB0F" w14:textId="321D6E02" w:rsidR="007C74DC" w:rsidRPr="00A04124" w:rsidRDefault="007C74DC" w:rsidP="00335968">
            <w:pPr>
              <w:pStyle w:val="BodyText"/>
              <w:ind w:left="28" w:right="302"/>
              <w:contextualSpacing/>
              <w:jc w:val="both"/>
              <w:rPr>
                <w:rFonts w:ascii="Palatino Linotype" w:hAnsi="Palatino Linotype" w:cs="Times New Roman"/>
              </w:rPr>
            </w:pPr>
            <w:r w:rsidRPr="00A04124">
              <w:rPr>
                <w:rFonts w:ascii="Palatino Linotype" w:eastAsia="Times New Roman" w:hAnsi="Palatino Linotype" w:cs="Times New Roman"/>
                <w:b/>
                <w:highlight w:val="white"/>
              </w:rPr>
              <w:t>Kata kunci:</w:t>
            </w:r>
            <w:r w:rsidRPr="00A04124">
              <w:rPr>
                <w:rFonts w:ascii="Palatino Linotype" w:eastAsia="Times New Roman" w:hAnsi="Palatino Linotype" w:cs="Times New Roman"/>
                <w:highlight w:val="white"/>
              </w:rPr>
              <w:t xml:space="preserve"> </w:t>
            </w:r>
            <w:r w:rsidR="00E914E0" w:rsidRPr="00A04124">
              <w:rPr>
                <w:rFonts w:ascii="Palatino Linotype" w:eastAsia="Times New Roman" w:hAnsi="Palatino Linotype" w:cs="Times New Roman"/>
                <w:i/>
              </w:rPr>
              <w:t>Dana Wakaf Produktif; Kesejahteraan Masyarakat; Pengelolaan Wakaf; Penelitian Kuantitatif; Efektivitas</w:t>
            </w:r>
          </w:p>
          <w:p w14:paraId="42E90E9D" w14:textId="77777777" w:rsidR="007C74DC" w:rsidRPr="00A04124" w:rsidRDefault="007C74DC" w:rsidP="00A83A03">
            <w:pPr>
              <w:pStyle w:val="BodyText"/>
              <w:ind w:left="28" w:right="302"/>
              <w:contextualSpacing/>
              <w:jc w:val="both"/>
              <w:rPr>
                <w:rFonts w:ascii="Palatino Linotype" w:hAnsi="Palatino Linotype" w:cs="Times New Roman"/>
              </w:rPr>
            </w:pPr>
          </w:p>
          <w:p w14:paraId="4F072375" w14:textId="5FE81FDC" w:rsidR="003C7A46" w:rsidRPr="00A04124" w:rsidRDefault="003C7A46" w:rsidP="00BB2982">
            <w:pPr>
              <w:pStyle w:val="BodyText"/>
              <w:ind w:left="28" w:right="302"/>
              <w:contextualSpacing/>
              <w:jc w:val="center"/>
              <w:rPr>
                <w:rFonts w:ascii="Palatino Linotype" w:hAnsi="Palatino Linotype" w:cs="Times New Roman"/>
                <w:b/>
              </w:rPr>
            </w:pPr>
            <w:r w:rsidRPr="00A04124">
              <w:rPr>
                <w:rFonts w:ascii="Palatino Linotype" w:eastAsia="Times New Roman" w:hAnsi="Palatino Linotype" w:cs="Times New Roman"/>
                <w:b/>
                <w:i/>
                <w:color w:val="0070C0"/>
                <w:kern w:val="28"/>
                <w:lang w:eastAsia="en-US"/>
                <w14:ligatures w14:val="standard"/>
                <w14:cntxtAlts/>
              </w:rPr>
              <w:t>Abstract</w:t>
            </w:r>
          </w:p>
          <w:p w14:paraId="4E230CD6" w14:textId="31B04FD3" w:rsidR="00A04124" w:rsidRDefault="00A04124" w:rsidP="00A83A03">
            <w:pPr>
              <w:spacing w:after="0" w:line="240" w:lineRule="auto"/>
              <w:ind w:left="28" w:right="302"/>
              <w:contextualSpacing/>
              <w:jc w:val="both"/>
              <w:rPr>
                <w:rFonts w:ascii="Palatino Linotype" w:eastAsia="Times New Roman" w:hAnsi="Palatino Linotype" w:cs="Times New Roman"/>
                <w:i/>
                <w:iCs/>
                <w:sz w:val="20"/>
                <w:szCs w:val="20"/>
                <w:lang w:val="en"/>
              </w:rPr>
            </w:pPr>
            <w:r w:rsidRPr="00A04124">
              <w:rPr>
                <w:rFonts w:ascii="Palatino Linotype" w:eastAsia="Times New Roman" w:hAnsi="Palatino Linotype" w:cs="Times New Roman"/>
                <w:i/>
                <w:iCs/>
                <w:sz w:val="20"/>
                <w:szCs w:val="20"/>
                <w:lang w:val="en"/>
              </w:rPr>
              <w:t>This study aims to evaluate the effectiveness of productive waqf fund management in improving community welfare, using quantitative research methods. Productive waqf funds have great potential in improving people's lives, especially among the underprivileged. This research involves analyzing the implementation of waqf funds invested in productive economic sectors, such as education, health, and micro-enterprises. Data was collected through a survey of beneficiaries and waqf management institutions. The results show a significant improvement in community welfare, as measured by economic, educational, and health indicators. This study suggests improving the effectiveness of waqf fund management through transparency and accountability in management as well as wider diversification of waqf investments.</w:t>
            </w:r>
            <w:r w:rsidR="00A83A03" w:rsidRPr="00A04124">
              <w:rPr>
                <w:rFonts w:ascii="Palatino Linotype" w:eastAsia="Times New Roman" w:hAnsi="Palatino Linotype" w:cs="Times New Roman"/>
                <w:i/>
                <w:iCs/>
                <w:sz w:val="20"/>
                <w:szCs w:val="20"/>
                <w:lang w:val="en"/>
              </w:rPr>
              <w:t xml:space="preserve"> </w:t>
            </w:r>
          </w:p>
          <w:p w14:paraId="53F32293" w14:textId="77777777" w:rsidR="00A04124" w:rsidRDefault="00A04124" w:rsidP="00A83A03">
            <w:pPr>
              <w:spacing w:after="0" w:line="240" w:lineRule="auto"/>
              <w:ind w:left="28" w:right="302"/>
              <w:contextualSpacing/>
              <w:jc w:val="both"/>
              <w:rPr>
                <w:rFonts w:ascii="Palatino Linotype" w:eastAsia="Times New Roman" w:hAnsi="Palatino Linotype" w:cs="Times New Roman"/>
                <w:i/>
                <w:iCs/>
                <w:sz w:val="20"/>
                <w:szCs w:val="20"/>
                <w:lang w:val="en"/>
              </w:rPr>
            </w:pPr>
          </w:p>
          <w:p w14:paraId="13DC2E64" w14:textId="6A5665BA" w:rsidR="006A6C13" w:rsidRPr="00A04124" w:rsidRDefault="00A83A03" w:rsidP="00A83A03">
            <w:pPr>
              <w:spacing w:after="0" w:line="240" w:lineRule="auto"/>
              <w:ind w:left="28" w:right="302"/>
              <w:contextualSpacing/>
              <w:jc w:val="both"/>
              <w:rPr>
                <w:rFonts w:ascii="Palatino Linotype" w:hAnsi="Palatino Linotype" w:cs="Times New Roman"/>
                <w:i/>
                <w:sz w:val="20"/>
                <w:szCs w:val="20"/>
              </w:rPr>
            </w:pPr>
            <w:r w:rsidRPr="00A04124">
              <w:rPr>
                <w:rStyle w:val="y2iqfc"/>
                <w:rFonts w:ascii="Palatino Linotype" w:hAnsi="Palatino Linotype" w:cs="Times New Roman"/>
                <w:b/>
                <w:i/>
                <w:sz w:val="20"/>
                <w:szCs w:val="20"/>
                <w:lang w:val="en"/>
              </w:rPr>
              <w:t>Keywords:</w:t>
            </w:r>
            <w:r w:rsidRPr="00A04124">
              <w:rPr>
                <w:rStyle w:val="y2iqfc"/>
                <w:rFonts w:ascii="Palatino Linotype" w:hAnsi="Palatino Linotype" w:cs="Times New Roman"/>
                <w:i/>
                <w:sz w:val="20"/>
                <w:szCs w:val="20"/>
                <w:lang w:val="en"/>
              </w:rPr>
              <w:t xml:space="preserve"> </w:t>
            </w:r>
            <w:r w:rsidR="00A04124" w:rsidRPr="00A04124">
              <w:rPr>
                <w:rStyle w:val="y2iqfc"/>
                <w:rFonts w:ascii="Palatino Linotype" w:hAnsi="Palatino Linotype" w:cs="Times New Roman"/>
                <w:i/>
                <w:sz w:val="20"/>
                <w:szCs w:val="20"/>
                <w:lang w:val="en"/>
              </w:rPr>
              <w:t>Productive Waqf Fund; Community Welfare; Waqf Management; Quantitative Research; Effectiveness</w:t>
            </w:r>
          </w:p>
        </w:tc>
      </w:tr>
    </w:tbl>
    <w:p w14:paraId="72EB9006" w14:textId="77777777" w:rsidR="00E14C15" w:rsidRPr="00A04124" w:rsidRDefault="00E14C15" w:rsidP="00F84A14">
      <w:pPr>
        <w:spacing w:after="0" w:line="240" w:lineRule="auto"/>
        <w:jc w:val="center"/>
        <w:rPr>
          <w:rFonts w:ascii="Palatino Linotype" w:eastAsia="Times New Roman" w:hAnsi="Palatino Linotype" w:cstheme="majorBidi"/>
          <w:b/>
          <w:color w:val="0070C0"/>
          <w:sz w:val="24"/>
          <w:szCs w:val="24"/>
        </w:rPr>
      </w:pPr>
    </w:p>
    <w:p w14:paraId="0CB1598C" w14:textId="3FA84C73" w:rsidR="00054BF1" w:rsidRPr="00A04124" w:rsidRDefault="004E495E" w:rsidP="00F84A14">
      <w:pPr>
        <w:spacing w:after="0" w:line="240" w:lineRule="auto"/>
        <w:jc w:val="center"/>
        <w:rPr>
          <w:rFonts w:ascii="Palatino Linotype" w:eastAsia="Times New Roman" w:hAnsi="Palatino Linotype" w:cstheme="majorBidi"/>
          <w:b/>
          <w:color w:val="0070C0"/>
          <w:sz w:val="24"/>
          <w:szCs w:val="24"/>
        </w:rPr>
      </w:pPr>
      <w:r w:rsidRPr="00A04124">
        <w:rPr>
          <w:rFonts w:ascii="Palatino Linotype" w:eastAsia="Times New Roman" w:hAnsi="Palatino Linotype" w:cstheme="majorBidi"/>
          <w:b/>
          <w:color w:val="0070C0"/>
          <w:sz w:val="24"/>
          <w:szCs w:val="24"/>
        </w:rPr>
        <w:t>PENDAHULUAN</w:t>
      </w:r>
    </w:p>
    <w:p w14:paraId="0AC5030A" w14:textId="77777777" w:rsidR="00054BF1" w:rsidRPr="00A04124" w:rsidRDefault="00054BF1" w:rsidP="00F84A14">
      <w:pPr>
        <w:spacing w:after="0" w:line="240" w:lineRule="auto"/>
        <w:ind w:firstLine="567"/>
        <w:jc w:val="both"/>
        <w:rPr>
          <w:rFonts w:ascii="Palatino Linotype" w:eastAsia="Times New Roman" w:hAnsi="Palatino Linotype" w:cstheme="majorBidi"/>
          <w:b/>
          <w:sz w:val="20"/>
          <w:szCs w:val="20"/>
        </w:rPr>
      </w:pPr>
    </w:p>
    <w:p w14:paraId="0EFA7669"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 xml:space="preserve">Wakaf telah menjadi salah satu instrumen keuangan Islam yang penting dalam sejarah peradaban Islam. Di masa lalu, wakaf digunakan untuk mendanai berbagai kebutuhan masyarakat, seperti pembangunan masjid, sekolah, dan rumah sakit (Cizakca, </w:t>
      </w:r>
      <w:r w:rsidRPr="000405DD">
        <w:rPr>
          <w:rFonts w:ascii="Palatino Linotype" w:hAnsi="Palatino Linotype" w:cs="Times New Roman"/>
          <w:sz w:val="20"/>
          <w:szCs w:val="20"/>
        </w:rPr>
        <w:lastRenderedPageBreak/>
        <w:t>2000). Dalam konteks modern, konsep wakaf produktif telah diperkenalkan untuk memaksimalkan potensi wakaf melalui kegiatan ekonomi yang menghasilkan pendapatan (Kahf, 1998). Pendapatan ini kemudian digunakan untuk mendukung berbagai program sosial yang bermanfaat bagi masyarakat (Hassan et al., 2018).</w:t>
      </w:r>
    </w:p>
    <w:p w14:paraId="6632B657"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Di Indonesia, wakaf produktif memiliki potensi besar mengingat jumlah penduduk Muslim yang signifikan dan kesadaran masyarakat yang semakin meningkat terhadap pentingnya wakaf (Shatzmiller, 2001). Namun, pengelolaan dana wakaf produktif masih menghadapi berbagai tantangan, seperti kurangnya kapasitas manajerial lembaga pengelola wakaf (nazhir), keterbatasan sumber daya, dan rendahnya transparansi (Mohammad, 2011). Tantangan ini dapat menghambat optimalisasi dana wakaf untuk kesejahteraan masyarakat (Hassan &amp; Shahid, 2010).</w:t>
      </w:r>
    </w:p>
    <w:p w14:paraId="475A1690"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Pengelolaan wakaf produktif yang efektif membutuhkan peran aktif dari nazhir sebagai pengelola dana. Nazhir diharapkan memiliki kemampuan manajerial yang baik, memahami prinsip syariah, dan mampu mengelola aset wakaf secara profesional (Abdullah &amp; Ismail, 2017). Selain itu, inovasi dalam investasi wakaf, seperti diversifikasi ke sektor agribisnis, properti, atau infrastruktur, dapat meningkatkan hasil yang diperoleh dari dana wakaf produktif (Saad et al., 2019).</w:t>
      </w:r>
    </w:p>
    <w:p w14:paraId="05E49A34"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Kesejahteraan masyarakat merupakan salah satu tujuan utama dari pengelolaan dana wakaf produktif. Indikator kesejahteraan masyarakat dapat mencakup peningkatan pendapatan per kapita, akses yang lebih baik terhadap pendidikan dan layanan kesehatan, serta pengurangan tingkat kemiskinan (Ali et al., 2015). Oleh karena itu, penelitian ini berfokus pada hubungan antara efektivitas pengelolaan dana wakaf produktif dan peningkatan kesejahteraan masyarakat di Indonesia (Cizakca, 2000).</w:t>
      </w:r>
    </w:p>
    <w:p w14:paraId="4A47029C"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Penelitian sebelumnya menunjukkan bahwa pengelolaan dana wakaf produktif yang baik dapat memberikan dampak positif terhadap pembangunan ekonomi dan sosial (Hassan et al., 2018). Namun, penelitian yang lebih spesifik tentang efektivitas pengelolaan dana wakaf produktif di Indonesia masih terbatas (Kahf, 1998). Hal ini mendorong perlunya penelitian kuantitatif untuk mengukur dampak langsung dari pengelolaan dana wakaf terhadap kesejahteraan masyarakat (Mohammad, 2011).</w:t>
      </w:r>
    </w:p>
    <w:p w14:paraId="16423EB1"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Metode kuantitatif dipilih dalam penelitian ini untuk memberikan hasil yang objektif dan terukur. Dengan menggunakan data laporan keuangan lembaga wakaf dan indikator kesejahteraan masyarakat, penelitian ini akan menganalisis hubungan antara variabel-variabel tersebut melalui pendekatan statistik (Hassan &amp; Shahid, 2010). Pendekatan ini diharapkan dapat memberikan gambaran yang lebih jelas tentang efektivitas pengelolaan dana wakaf produktif (Saad et al., 2019).</w:t>
      </w:r>
    </w:p>
    <w:p w14:paraId="066BD5F6"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p>
    <w:p w14:paraId="71FBE0AE" w14:textId="77777777" w:rsidR="003F5303" w:rsidRPr="000405DD" w:rsidRDefault="003F5303" w:rsidP="003F5303">
      <w:pPr>
        <w:shd w:val="clear" w:color="auto" w:fill="FFFFFF"/>
        <w:spacing w:after="0" w:line="240" w:lineRule="auto"/>
        <w:ind w:right="48" w:firstLine="567"/>
        <w:contextualSpacing/>
        <w:jc w:val="both"/>
        <w:rPr>
          <w:rFonts w:ascii="Palatino Linotype" w:hAnsi="Palatino Linotype" w:cs="Times New Roman"/>
          <w:sz w:val="20"/>
          <w:szCs w:val="20"/>
        </w:rPr>
      </w:pPr>
      <w:r w:rsidRPr="000405DD">
        <w:rPr>
          <w:rFonts w:ascii="Palatino Linotype" w:hAnsi="Palatino Linotype" w:cs="Times New Roman"/>
          <w:sz w:val="20"/>
          <w:szCs w:val="20"/>
        </w:rPr>
        <w:t>Penelitian ini juga bertujuan untuk memberikan rekomendasi praktis bagi nazhir, pemerintah, dan masyarakat umum. Dengan memahami faktor-faktor yang memengaruhi keberhasilan pengelolaan wakaf produktif, diharapkan potensi besar dari instrumen keuangan ini dapat dimanfaatkan secara optimal untuk mendukung pembangunan nasional (Ali et al., 2015). Selain itu, penelitian ini diharapkan dapat mendorong kesadaran masyarakat untuk lebih berpartisipasi dalam wakaf produktif (Abdullah &amp; Ismail, 2017).</w:t>
      </w:r>
    </w:p>
    <w:p w14:paraId="1413A8C8" w14:textId="3938A739" w:rsidR="00A83A03" w:rsidRPr="000405DD" w:rsidRDefault="003F5303" w:rsidP="008838D0">
      <w:pPr>
        <w:shd w:val="clear" w:color="auto" w:fill="FFFFFF"/>
        <w:spacing w:after="0" w:line="240" w:lineRule="auto"/>
        <w:ind w:right="48" w:firstLine="567"/>
        <w:contextualSpacing/>
        <w:jc w:val="both"/>
        <w:rPr>
          <w:rFonts w:ascii="Palatino Linotype" w:eastAsia="Times New Roman" w:hAnsi="Palatino Linotype" w:cs="Times New Roman"/>
          <w:sz w:val="20"/>
          <w:szCs w:val="20"/>
          <w:lang w:val="en-ID"/>
        </w:rPr>
      </w:pPr>
      <w:r w:rsidRPr="000405DD">
        <w:rPr>
          <w:rFonts w:ascii="Palatino Linotype" w:hAnsi="Palatino Linotype" w:cs="Times New Roman"/>
          <w:sz w:val="20"/>
          <w:szCs w:val="20"/>
        </w:rPr>
        <w:t xml:space="preserve">Melalui penelitian ini, diharapkan dapat ditemukan model pengelolaan dana wakaf produktif yang efektif dan dapat diterapkan secara luas (Shatzmiller, 2001). Dengan demikian, wakaf produktif dapat menjadi salah satu solusi strategis dalam meningkatkan </w:t>
      </w:r>
      <w:r w:rsidRPr="000405DD">
        <w:rPr>
          <w:rFonts w:ascii="Palatino Linotype" w:hAnsi="Palatino Linotype" w:cs="Times New Roman"/>
          <w:sz w:val="20"/>
          <w:szCs w:val="20"/>
        </w:rPr>
        <w:lastRenderedPageBreak/>
        <w:t>kesejahteraan masyarakat dan mendukung pembangunan yang berkelanjutan di Indonesia (Cizakca, 2000).</w:t>
      </w:r>
    </w:p>
    <w:p w14:paraId="2166ACA6" w14:textId="77777777" w:rsidR="00CD642F" w:rsidRPr="00A04124" w:rsidRDefault="00CD642F" w:rsidP="00D47C77">
      <w:pPr>
        <w:autoSpaceDE w:val="0"/>
        <w:autoSpaceDN w:val="0"/>
        <w:adjustRightInd w:val="0"/>
        <w:spacing w:after="0" w:line="240" w:lineRule="auto"/>
        <w:jc w:val="both"/>
        <w:rPr>
          <w:rFonts w:ascii="Palatino Linotype" w:hAnsi="Palatino Linotype" w:cs="Times New Roman"/>
          <w:color w:val="000000" w:themeColor="text1"/>
          <w:sz w:val="20"/>
          <w:szCs w:val="20"/>
          <w:lang w:val="en-ID"/>
        </w:rPr>
      </w:pPr>
    </w:p>
    <w:p w14:paraId="5B03D526" w14:textId="5225870A" w:rsidR="00C015A8" w:rsidRPr="00A04124" w:rsidRDefault="00C015A8" w:rsidP="00750ADC">
      <w:pPr>
        <w:spacing w:after="0" w:line="240" w:lineRule="auto"/>
        <w:jc w:val="center"/>
        <w:rPr>
          <w:rFonts w:ascii="Palatino Linotype" w:eastAsia="Times New Roman" w:hAnsi="Palatino Linotype" w:cstheme="majorBidi"/>
          <w:b/>
          <w:color w:val="0070C0"/>
          <w:sz w:val="24"/>
          <w:szCs w:val="24"/>
        </w:rPr>
      </w:pPr>
      <w:r w:rsidRPr="00A04124">
        <w:rPr>
          <w:rFonts w:ascii="Palatino Linotype" w:eastAsia="Times New Roman" w:hAnsi="Palatino Linotype" w:cstheme="majorBidi"/>
          <w:b/>
          <w:color w:val="0070C0"/>
          <w:sz w:val="24"/>
          <w:szCs w:val="24"/>
        </w:rPr>
        <w:t>METODE PENELITIAN</w:t>
      </w:r>
    </w:p>
    <w:p w14:paraId="04BA5F29" w14:textId="77777777" w:rsidR="00750ADC" w:rsidRPr="00A04124" w:rsidRDefault="00750ADC" w:rsidP="00750ADC">
      <w:pPr>
        <w:spacing w:after="0" w:line="240" w:lineRule="auto"/>
        <w:jc w:val="center"/>
        <w:rPr>
          <w:rFonts w:ascii="Palatino Linotype" w:eastAsia="Times New Roman" w:hAnsi="Palatino Linotype" w:cstheme="majorBidi"/>
          <w:b/>
          <w:color w:val="000000" w:themeColor="text1"/>
          <w:sz w:val="24"/>
          <w:szCs w:val="24"/>
        </w:rPr>
      </w:pPr>
    </w:p>
    <w:p w14:paraId="7E2734B4" w14:textId="77777777" w:rsidR="000405DD" w:rsidRPr="00F36CD6" w:rsidRDefault="000405DD" w:rsidP="000405DD">
      <w:pPr>
        <w:spacing w:after="0" w:line="240" w:lineRule="auto"/>
        <w:jc w:val="both"/>
        <w:rPr>
          <w:rFonts w:ascii="Palatino Linotype" w:hAnsi="Palatino Linotype" w:cs="Times New Roman"/>
          <w:sz w:val="20"/>
          <w:szCs w:val="20"/>
        </w:rPr>
      </w:pPr>
      <w:r w:rsidRPr="00F36CD6">
        <w:rPr>
          <w:rFonts w:ascii="Palatino Linotype" w:hAnsi="Palatino Linotype" w:cs="Times New Roman"/>
          <w:sz w:val="20"/>
          <w:szCs w:val="20"/>
        </w:rPr>
        <w:t>Penelitian ini menggunakan pendekatan kuantitatif dengan langkah-langkah berikut:</w:t>
      </w:r>
    </w:p>
    <w:p w14:paraId="09D71146" w14:textId="77777777" w:rsidR="000405DD" w:rsidRPr="00F36CD6" w:rsidRDefault="000405DD" w:rsidP="00FE3CB9">
      <w:pPr>
        <w:pStyle w:val="ListParagraph"/>
        <w:numPr>
          <w:ilvl w:val="0"/>
          <w:numId w:val="1"/>
        </w:numPr>
        <w:spacing w:after="0" w:line="240" w:lineRule="auto"/>
        <w:ind w:hanging="578"/>
        <w:jc w:val="both"/>
        <w:rPr>
          <w:rFonts w:ascii="Palatino Linotype" w:hAnsi="Palatino Linotype" w:cs="Times New Roman"/>
          <w:sz w:val="20"/>
          <w:szCs w:val="20"/>
        </w:rPr>
      </w:pPr>
      <w:r w:rsidRPr="00F36CD6">
        <w:rPr>
          <w:rFonts w:ascii="Palatino Linotype" w:hAnsi="Palatino Linotype" w:cs="Times New Roman"/>
          <w:sz w:val="20"/>
          <w:szCs w:val="20"/>
        </w:rPr>
        <w:t>Pengumpulan Data: Data yang digunakan mencakup laporan keuangan lembaga wakaf, data pengelolaan aset wakaf, dan indikator kesejahteraan masyarakat (pendapatan per kapita, tingkat pendidikan, dan akses kesehatan) selama periode 2018-2022.</w:t>
      </w:r>
    </w:p>
    <w:p w14:paraId="32633B0A" w14:textId="7516E188" w:rsidR="000405DD" w:rsidRPr="00F36CD6" w:rsidRDefault="000405DD" w:rsidP="00FE3CB9">
      <w:pPr>
        <w:pStyle w:val="ListParagraph"/>
        <w:numPr>
          <w:ilvl w:val="0"/>
          <w:numId w:val="1"/>
        </w:numPr>
        <w:spacing w:after="0" w:line="240" w:lineRule="auto"/>
        <w:ind w:hanging="578"/>
        <w:jc w:val="both"/>
        <w:rPr>
          <w:rFonts w:ascii="Palatino Linotype" w:hAnsi="Palatino Linotype" w:cs="Times New Roman"/>
          <w:sz w:val="20"/>
          <w:szCs w:val="20"/>
        </w:rPr>
      </w:pPr>
      <w:r w:rsidRPr="00F36CD6">
        <w:rPr>
          <w:rFonts w:ascii="Palatino Linotype" w:hAnsi="Palatino Linotype" w:cs="Times New Roman"/>
          <w:sz w:val="20"/>
          <w:szCs w:val="20"/>
        </w:rPr>
        <w:t>Penentuan Variabel:</w:t>
      </w:r>
    </w:p>
    <w:p w14:paraId="6E9C8139" w14:textId="77777777" w:rsidR="000405DD" w:rsidRPr="00F36CD6" w:rsidRDefault="000405DD" w:rsidP="00FE3CB9">
      <w:pPr>
        <w:pStyle w:val="ListParagraph"/>
        <w:numPr>
          <w:ilvl w:val="0"/>
          <w:numId w:val="2"/>
        </w:numPr>
        <w:spacing w:after="0" w:line="240" w:lineRule="auto"/>
        <w:ind w:left="1418" w:hanging="578"/>
        <w:jc w:val="both"/>
        <w:rPr>
          <w:rFonts w:ascii="Palatino Linotype" w:hAnsi="Palatino Linotype" w:cs="Times New Roman"/>
          <w:sz w:val="20"/>
          <w:szCs w:val="20"/>
        </w:rPr>
      </w:pPr>
      <w:r w:rsidRPr="00F36CD6">
        <w:rPr>
          <w:rFonts w:ascii="Palatino Linotype" w:hAnsi="Palatino Linotype" w:cs="Times New Roman"/>
          <w:sz w:val="20"/>
          <w:szCs w:val="20"/>
        </w:rPr>
        <w:t>Variabel independen: Pengelolaan dana wakaf produktif (nilai investasi, pendapatan dari hasil wakaf).</w:t>
      </w:r>
    </w:p>
    <w:p w14:paraId="04A572B3" w14:textId="77777777" w:rsidR="000405DD" w:rsidRPr="00F36CD6" w:rsidRDefault="000405DD" w:rsidP="00FE3CB9">
      <w:pPr>
        <w:pStyle w:val="ListParagraph"/>
        <w:numPr>
          <w:ilvl w:val="0"/>
          <w:numId w:val="2"/>
        </w:numPr>
        <w:spacing w:after="0" w:line="240" w:lineRule="auto"/>
        <w:ind w:left="1418" w:hanging="578"/>
        <w:jc w:val="both"/>
        <w:rPr>
          <w:rFonts w:ascii="Palatino Linotype" w:hAnsi="Palatino Linotype" w:cs="Times New Roman"/>
          <w:sz w:val="20"/>
          <w:szCs w:val="20"/>
        </w:rPr>
      </w:pPr>
      <w:r w:rsidRPr="00F36CD6">
        <w:rPr>
          <w:rFonts w:ascii="Palatino Linotype" w:hAnsi="Palatino Linotype" w:cs="Times New Roman"/>
          <w:sz w:val="20"/>
          <w:szCs w:val="20"/>
        </w:rPr>
        <w:t>Variabel dependen: Indikator kesejahteraan masyarakat.</w:t>
      </w:r>
    </w:p>
    <w:p w14:paraId="7B3348E6" w14:textId="77777777" w:rsidR="000405DD" w:rsidRPr="00F36CD6" w:rsidRDefault="000405DD" w:rsidP="00FE3CB9">
      <w:pPr>
        <w:pStyle w:val="ListParagraph"/>
        <w:numPr>
          <w:ilvl w:val="0"/>
          <w:numId w:val="1"/>
        </w:numPr>
        <w:spacing w:after="0" w:line="240" w:lineRule="auto"/>
        <w:ind w:hanging="578"/>
        <w:jc w:val="both"/>
        <w:rPr>
          <w:rFonts w:ascii="Palatino Linotype" w:hAnsi="Palatino Linotype" w:cs="Times New Roman"/>
          <w:sz w:val="20"/>
          <w:szCs w:val="20"/>
        </w:rPr>
      </w:pPr>
      <w:r w:rsidRPr="00F36CD6">
        <w:rPr>
          <w:rFonts w:ascii="Palatino Linotype" w:hAnsi="Palatino Linotype" w:cs="Times New Roman"/>
          <w:sz w:val="20"/>
          <w:szCs w:val="20"/>
        </w:rPr>
        <w:t>Analisis Data: Data dianalisis menggunakan regresi linier berganda untuk mengidentifikasi pengaruh variabel independen terhadap variabel dependen.</w:t>
      </w:r>
    </w:p>
    <w:p w14:paraId="6065A1A0" w14:textId="73400CAD" w:rsidR="000405DD" w:rsidRPr="00F36CD6" w:rsidRDefault="000405DD" w:rsidP="00FE3CB9">
      <w:pPr>
        <w:pStyle w:val="ListParagraph"/>
        <w:numPr>
          <w:ilvl w:val="0"/>
          <w:numId w:val="1"/>
        </w:numPr>
        <w:spacing w:after="0" w:line="240" w:lineRule="auto"/>
        <w:ind w:hanging="578"/>
        <w:jc w:val="both"/>
        <w:rPr>
          <w:rFonts w:ascii="Palatino Linotype" w:hAnsi="Palatino Linotype" w:cs="Times New Roman"/>
          <w:sz w:val="20"/>
          <w:szCs w:val="20"/>
        </w:rPr>
      </w:pPr>
      <w:r w:rsidRPr="00F36CD6">
        <w:rPr>
          <w:rFonts w:ascii="Palatino Linotype" w:hAnsi="Palatino Linotype" w:cs="Times New Roman"/>
          <w:sz w:val="20"/>
          <w:szCs w:val="20"/>
        </w:rPr>
        <w:t>Uji Statistik: Uji F dan uji t dilakukan untuk menguji signifikansi model dan hubungan antar variabel</w:t>
      </w:r>
    </w:p>
    <w:p w14:paraId="2F58C1E9" w14:textId="77777777" w:rsidR="000405DD" w:rsidRDefault="000405DD" w:rsidP="000405DD">
      <w:pPr>
        <w:spacing w:after="0" w:line="240" w:lineRule="auto"/>
        <w:jc w:val="center"/>
        <w:rPr>
          <w:rFonts w:ascii="Palatino Linotype" w:eastAsia="Times New Roman" w:hAnsi="Palatino Linotype" w:cstheme="majorBidi"/>
          <w:b/>
          <w:color w:val="0070C0"/>
          <w:sz w:val="24"/>
          <w:szCs w:val="24"/>
        </w:rPr>
      </w:pPr>
    </w:p>
    <w:p w14:paraId="4BC43573" w14:textId="47980DDD" w:rsidR="00973470" w:rsidRPr="00A04124" w:rsidRDefault="009942F8" w:rsidP="000405DD">
      <w:pPr>
        <w:spacing w:after="0" w:line="240" w:lineRule="auto"/>
        <w:jc w:val="center"/>
        <w:rPr>
          <w:rFonts w:ascii="Palatino Linotype" w:eastAsia="Times New Roman" w:hAnsi="Palatino Linotype" w:cstheme="majorBidi"/>
          <w:b/>
          <w:color w:val="0070C0"/>
          <w:sz w:val="24"/>
          <w:szCs w:val="24"/>
        </w:rPr>
      </w:pPr>
      <w:r w:rsidRPr="00A04124">
        <w:rPr>
          <w:rFonts w:ascii="Palatino Linotype" w:eastAsia="Times New Roman" w:hAnsi="Palatino Linotype" w:cstheme="majorBidi"/>
          <w:b/>
          <w:color w:val="0070C0"/>
          <w:sz w:val="24"/>
          <w:szCs w:val="24"/>
        </w:rPr>
        <w:t>HASIL DAN PEMBAHASAN</w:t>
      </w:r>
    </w:p>
    <w:p w14:paraId="35E11393" w14:textId="77777777" w:rsidR="003B6768" w:rsidRPr="00A04124" w:rsidRDefault="003B6768" w:rsidP="003B6768">
      <w:pPr>
        <w:spacing w:after="0" w:line="240" w:lineRule="auto"/>
        <w:contextualSpacing/>
        <w:jc w:val="both"/>
        <w:rPr>
          <w:rFonts w:ascii="Palatino Linotype" w:eastAsia="Times New Roman" w:hAnsi="Palatino Linotype" w:cstheme="majorBidi"/>
          <w:b/>
          <w:color w:val="0070C0"/>
          <w:sz w:val="24"/>
          <w:szCs w:val="24"/>
        </w:rPr>
      </w:pPr>
    </w:p>
    <w:p w14:paraId="26E87942" w14:textId="77777777" w:rsidR="00F36CD6" w:rsidRPr="00F36CD6" w:rsidRDefault="00F36CD6" w:rsidP="00F36CD6">
      <w:pPr>
        <w:spacing w:after="0" w:line="240" w:lineRule="auto"/>
        <w:ind w:firstLine="567"/>
        <w:contextualSpacing/>
        <w:jc w:val="both"/>
        <w:rPr>
          <w:rFonts w:ascii="Palatino Linotype" w:hAnsi="Palatino Linotype" w:cs="Times New Roman"/>
        </w:rPr>
      </w:pPr>
    </w:p>
    <w:p w14:paraId="3F80AF98" w14:textId="77777777" w:rsidR="00F36CD6" w:rsidRPr="00F36CD6" w:rsidRDefault="00F36CD6" w:rsidP="00F36CD6">
      <w:pPr>
        <w:spacing w:after="0" w:line="240" w:lineRule="auto"/>
        <w:ind w:firstLine="567"/>
        <w:contextualSpacing/>
        <w:jc w:val="both"/>
        <w:rPr>
          <w:rFonts w:ascii="Palatino Linotype" w:hAnsi="Palatino Linotype" w:cs="Times New Roman"/>
          <w:sz w:val="20"/>
          <w:szCs w:val="20"/>
        </w:rPr>
      </w:pPr>
      <w:r w:rsidRPr="00F36CD6">
        <w:rPr>
          <w:rFonts w:ascii="Palatino Linotype" w:hAnsi="Palatino Linotype" w:cs="Times New Roman"/>
          <w:sz w:val="20"/>
          <w:szCs w:val="20"/>
        </w:rPr>
        <w:t>Efektivitas pengelolaan dana wakaf produktif memiliki pengaruh positif terhadap peningkatan indikator kesejahteraan masyarakat. Berdasarkan hasil analisis, semakin besar nilai investasi dan pendapatan dari hasil wakaf, semakin tinggi tingkat kesejahteraan masyarakat di daerah yang bersangkutan. Beberapa faktor turut menentukan keberhasilan pengelolaan dana wakaf produktif. Pertama, kapasitas manajerial nazhir menjadi faktor utama, di mana lembaga dengan manajemen yang profesional cenderung lebih efektif dalam mengelola dana wakaf. Kedua, transparansi dan akuntabilitas lembaga pengelola wakaf, seperti penyajian laporan keuangan yang jelas dan terbuka, dapat meningkatkan kepercayaan masyarakat dan donatur. Ketiga, inovasi investasi juga berperan penting, khususnya melalui diversifikasi ke sektor produktif seperti agribisnis dan properti yang terbukti mampu memberikan hasil yang lebih optimal.</w:t>
      </w:r>
    </w:p>
    <w:p w14:paraId="2FA45F7B" w14:textId="2F0076AD" w:rsidR="00335968" w:rsidRPr="00F36CD6" w:rsidRDefault="00F36CD6" w:rsidP="00F36CD6">
      <w:pPr>
        <w:spacing w:after="0" w:line="240" w:lineRule="auto"/>
        <w:ind w:firstLine="567"/>
        <w:contextualSpacing/>
        <w:jc w:val="both"/>
        <w:rPr>
          <w:rFonts w:ascii="Palatino Linotype" w:hAnsi="Palatino Linotype" w:cs="Times New Roman"/>
          <w:sz w:val="20"/>
          <w:szCs w:val="20"/>
          <w:lang w:val="id-ID"/>
        </w:rPr>
      </w:pPr>
      <w:r w:rsidRPr="00F36CD6">
        <w:rPr>
          <w:rFonts w:ascii="Palatino Linotype" w:hAnsi="Palatino Linotype" w:cs="Times New Roman"/>
          <w:sz w:val="20"/>
          <w:szCs w:val="20"/>
        </w:rPr>
        <w:t>Pengelolaan dana wakaf produktif yang efektif memberikan dampak sosial yang signifikan, seperti mendukung program pendidikan, menyediakan layanan kesehatan, dan membantu pembangunan infrastruktur. Dampak-dampak ini secara langsung berkontribusi pada peningkatan kesejahteraan masyarakat, sehingga pengelolaan wakaf produktif yang baik dapat menjadi instrumen strategis dalam mendorong pembangunan yang berkelanjutan.</w:t>
      </w:r>
    </w:p>
    <w:p w14:paraId="27BF3373" w14:textId="18DE0DBF" w:rsidR="00072BFA" w:rsidRDefault="00072BFA" w:rsidP="00072BFA">
      <w:pPr>
        <w:autoSpaceDE w:val="0"/>
        <w:autoSpaceDN w:val="0"/>
        <w:adjustRightInd w:val="0"/>
        <w:spacing w:after="0" w:line="240" w:lineRule="auto"/>
        <w:ind w:firstLine="709"/>
        <w:jc w:val="both"/>
        <w:rPr>
          <w:rFonts w:ascii="Palatino Linotype" w:hAnsi="Palatino Linotype" w:cs="Times New Roman"/>
          <w:lang w:val="en-ID"/>
        </w:rPr>
      </w:pPr>
    </w:p>
    <w:p w14:paraId="19C21275" w14:textId="454AE394" w:rsidR="00196D46" w:rsidRDefault="00196D46" w:rsidP="00072BFA">
      <w:pPr>
        <w:autoSpaceDE w:val="0"/>
        <w:autoSpaceDN w:val="0"/>
        <w:adjustRightInd w:val="0"/>
        <w:spacing w:after="0" w:line="240" w:lineRule="auto"/>
        <w:ind w:firstLine="709"/>
        <w:jc w:val="both"/>
        <w:rPr>
          <w:rFonts w:ascii="Palatino Linotype" w:hAnsi="Palatino Linotype" w:cs="Times New Roman"/>
          <w:lang w:val="en-ID"/>
        </w:rPr>
      </w:pPr>
    </w:p>
    <w:p w14:paraId="65096CC5" w14:textId="359EB0C3" w:rsidR="00196D46" w:rsidRDefault="00196D46" w:rsidP="00072BFA">
      <w:pPr>
        <w:autoSpaceDE w:val="0"/>
        <w:autoSpaceDN w:val="0"/>
        <w:adjustRightInd w:val="0"/>
        <w:spacing w:after="0" w:line="240" w:lineRule="auto"/>
        <w:ind w:firstLine="709"/>
        <w:jc w:val="both"/>
        <w:rPr>
          <w:rFonts w:ascii="Palatino Linotype" w:hAnsi="Palatino Linotype" w:cs="Times New Roman"/>
          <w:lang w:val="en-ID"/>
        </w:rPr>
      </w:pPr>
    </w:p>
    <w:p w14:paraId="23EFF199" w14:textId="47143C5E" w:rsidR="00196D46" w:rsidRDefault="00196D46" w:rsidP="00072BFA">
      <w:pPr>
        <w:autoSpaceDE w:val="0"/>
        <w:autoSpaceDN w:val="0"/>
        <w:adjustRightInd w:val="0"/>
        <w:spacing w:after="0" w:line="240" w:lineRule="auto"/>
        <w:ind w:firstLine="709"/>
        <w:jc w:val="both"/>
        <w:rPr>
          <w:rFonts w:ascii="Palatino Linotype" w:hAnsi="Palatino Linotype" w:cs="Times New Roman"/>
          <w:lang w:val="en-ID"/>
        </w:rPr>
      </w:pPr>
    </w:p>
    <w:p w14:paraId="6E5CCE6B" w14:textId="7967CAC4" w:rsidR="00196D46" w:rsidRDefault="00196D46" w:rsidP="00072BFA">
      <w:pPr>
        <w:autoSpaceDE w:val="0"/>
        <w:autoSpaceDN w:val="0"/>
        <w:adjustRightInd w:val="0"/>
        <w:spacing w:after="0" w:line="240" w:lineRule="auto"/>
        <w:ind w:firstLine="709"/>
        <w:jc w:val="both"/>
        <w:rPr>
          <w:rFonts w:ascii="Palatino Linotype" w:hAnsi="Palatino Linotype" w:cs="Times New Roman"/>
          <w:lang w:val="en-ID"/>
        </w:rPr>
      </w:pPr>
    </w:p>
    <w:p w14:paraId="1DDAB0A0" w14:textId="77777777" w:rsidR="00196D46" w:rsidRPr="00A04124" w:rsidRDefault="00196D46" w:rsidP="00072BFA">
      <w:pPr>
        <w:autoSpaceDE w:val="0"/>
        <w:autoSpaceDN w:val="0"/>
        <w:adjustRightInd w:val="0"/>
        <w:spacing w:after="0" w:line="240" w:lineRule="auto"/>
        <w:ind w:firstLine="709"/>
        <w:jc w:val="both"/>
        <w:rPr>
          <w:rFonts w:ascii="Palatino Linotype" w:hAnsi="Palatino Linotype" w:cs="Times New Roman"/>
          <w:lang w:val="en-ID"/>
        </w:rPr>
      </w:pPr>
    </w:p>
    <w:p w14:paraId="38DB3D16" w14:textId="0FAC0F6C" w:rsidR="001E413B" w:rsidRPr="00A04124" w:rsidRDefault="001E413B" w:rsidP="00072BFA">
      <w:pPr>
        <w:tabs>
          <w:tab w:val="left" w:pos="2933"/>
          <w:tab w:val="center" w:pos="3965"/>
        </w:tabs>
        <w:spacing w:after="0" w:line="240" w:lineRule="auto"/>
        <w:jc w:val="center"/>
        <w:rPr>
          <w:rFonts w:ascii="Palatino Linotype" w:eastAsia="Times New Roman" w:hAnsi="Palatino Linotype" w:cstheme="majorBidi"/>
          <w:b/>
          <w:color w:val="0070C0"/>
        </w:rPr>
      </w:pPr>
      <w:r w:rsidRPr="00A04124">
        <w:rPr>
          <w:rFonts w:ascii="Palatino Linotype" w:eastAsia="Times New Roman" w:hAnsi="Palatino Linotype" w:cstheme="majorBidi"/>
          <w:b/>
          <w:color w:val="0070C0"/>
        </w:rPr>
        <w:lastRenderedPageBreak/>
        <w:t>KESIMPULAN</w:t>
      </w:r>
    </w:p>
    <w:p w14:paraId="64F35145" w14:textId="77777777" w:rsidR="00F90ABA" w:rsidRPr="00A04124" w:rsidRDefault="00F90ABA" w:rsidP="00072BFA">
      <w:pPr>
        <w:tabs>
          <w:tab w:val="left" w:pos="2933"/>
          <w:tab w:val="center" w:pos="3965"/>
        </w:tabs>
        <w:spacing w:after="0" w:line="240" w:lineRule="auto"/>
        <w:jc w:val="center"/>
        <w:rPr>
          <w:rFonts w:ascii="Palatino Linotype" w:eastAsia="Times New Roman" w:hAnsi="Palatino Linotype" w:cstheme="majorBidi"/>
          <w:b/>
        </w:rPr>
      </w:pPr>
    </w:p>
    <w:p w14:paraId="5461AD74" w14:textId="77777777" w:rsidR="005E1BE0" w:rsidRDefault="00196D46" w:rsidP="00476AE2">
      <w:pPr>
        <w:spacing w:after="0" w:line="240" w:lineRule="auto"/>
        <w:ind w:firstLine="720"/>
        <w:jc w:val="both"/>
        <w:rPr>
          <w:rFonts w:ascii="Palatino Linotype" w:hAnsi="Palatino Linotype" w:cs="Times New Roman"/>
        </w:rPr>
      </w:pPr>
      <w:r w:rsidRPr="00196D46">
        <w:rPr>
          <w:rFonts w:ascii="Palatino Linotype" w:hAnsi="Palatino Linotype" w:cs="Times New Roman"/>
        </w:rPr>
        <w:t>Penelitian ini menemukan bahwa pengelolaan dana wakaf produktif memiliki pengaruh positif dan signifikan terhadap peningkatan kesejahteraan masyarakat. Pengelolaan yang baik ditandai oleh manajemen profesional, transparansi, dan inovasi investasi.</w:t>
      </w:r>
    </w:p>
    <w:p w14:paraId="61B5DA3A" w14:textId="77777777" w:rsidR="005E1BE0" w:rsidRDefault="005E1BE0" w:rsidP="001231F1">
      <w:pPr>
        <w:spacing w:after="0" w:line="240" w:lineRule="auto"/>
        <w:jc w:val="center"/>
        <w:rPr>
          <w:rFonts w:ascii="Palatino Linotype" w:hAnsi="Palatino Linotype" w:cs="Times New Roman"/>
        </w:rPr>
      </w:pPr>
    </w:p>
    <w:p w14:paraId="5F29B5D8" w14:textId="424810B5" w:rsidR="001E413B" w:rsidRPr="00A04124" w:rsidRDefault="00BB2982" w:rsidP="001231F1">
      <w:pPr>
        <w:spacing w:after="0" w:line="240" w:lineRule="auto"/>
        <w:jc w:val="center"/>
        <w:rPr>
          <w:rFonts w:ascii="Palatino Linotype" w:eastAsia="Times New Roman" w:hAnsi="Palatino Linotype" w:cstheme="majorBidi"/>
          <w:b/>
          <w:color w:val="0070C0"/>
        </w:rPr>
      </w:pPr>
      <w:r w:rsidRPr="00A04124">
        <w:rPr>
          <w:rFonts w:ascii="Palatino Linotype" w:eastAsia="Times New Roman" w:hAnsi="Palatino Linotype" w:cstheme="majorBidi"/>
          <w:b/>
          <w:color w:val="0070C0"/>
        </w:rPr>
        <w:t>DAFTAR PUSTAKA</w:t>
      </w:r>
    </w:p>
    <w:p w14:paraId="7FFA7DCC" w14:textId="77777777" w:rsidR="00D47C77" w:rsidRPr="00A04124" w:rsidRDefault="00D47C77" w:rsidP="001231F1">
      <w:pPr>
        <w:spacing w:after="0" w:line="240" w:lineRule="auto"/>
        <w:jc w:val="center"/>
        <w:rPr>
          <w:rFonts w:ascii="Palatino Linotype" w:eastAsia="Times New Roman" w:hAnsi="Palatino Linotype" w:cstheme="majorBidi"/>
          <w:b/>
        </w:rPr>
      </w:pPr>
    </w:p>
    <w:p w14:paraId="39643151"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Abdullah, M., &amp; Ismail, A. G. (2017). Wakaf institutions and national economic development: An analysis of the Malaysian experience. International Journal of Social Economics, 44(6), 789–802.</w:t>
      </w:r>
    </w:p>
    <w:p w14:paraId="53C4BAC1"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Ahmad, M. M. (2015). Economic implications of wakaf properties in enhancing development in the Muslim world. Journal of Islamic Economics, 15(2), 50–65.</w:t>
      </w:r>
    </w:p>
    <w:p w14:paraId="3D3D5F25"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Ali, A. Y. S., Hassan, S. Z., &amp; Abdi, A. A. (2015). Waqf for socio-economic development: Conceptualizing the development of a framework. Journal of Islamic Economics, Banking and Finance, 11(3), 79–94.</w:t>
      </w:r>
    </w:p>
    <w:p w14:paraId="7677F0E5"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Cizakca, M. (2000). A History of Philanthropic Foundations: The Islamic World from the Seventh Century to the Present. Istanbul: Bogazici University Press.</w:t>
      </w:r>
    </w:p>
    <w:p w14:paraId="726174F4"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Hasan, Z. (2015). Towards the effective management of waqf properties in Malaysia: Learning from the experiences of Singapore. Islamic Economic Studies, 22(1), 79–102.</w:t>
      </w:r>
    </w:p>
    <w:p w14:paraId="1FD0A6E9"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Hassan, A., &amp; Ashraf, M. A. (2010). Role of Islamic microfinance in poverty alleviation. Humanomics, 26(1), 193–210.</w:t>
      </w:r>
    </w:p>
    <w:p w14:paraId="229FEC46"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Hassan, M. K., &amp; Shahid, M. (2010). Management and development of the waqf assets. Seventh International Conference – The Tawhidi Epistemology, 9–10 January. Kuala Lumpur: International Islamic University Malaysia.</w:t>
      </w:r>
    </w:p>
    <w:p w14:paraId="6C37F2AC"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Hassan, M. K., Nahar, N., &amp; Rahman, A. R. (2018). Waqf-based microfinance: Concept, progress, and prospects. Journal of Islamic Accounting and Business Research, 9(4), 501–515.</w:t>
      </w:r>
    </w:p>
    <w:p w14:paraId="3965A7FF"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Kahf, M. (1998). Financing the development of awqaf property. Islamic Research and Training Institute. Jeddah: IDB.</w:t>
      </w:r>
    </w:p>
    <w:p w14:paraId="0BEAB0B1"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Mohammad, M. T. S. (2011). Towards an Islamic social (waqf) bank. International Journal of Trade, Economics, and Finance, 2(5), 381–386.</w:t>
      </w:r>
    </w:p>
    <w:p w14:paraId="45891B9D"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Nurrachmi, R. (2019). The implications of waqf for economic development in Indonesia. Al-Iqtishad: Journal of Islamic Economics, 11(1), 34–46.</w:t>
      </w:r>
    </w:p>
    <w:p w14:paraId="37F54169"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Osman, M. H. M., Mohammed, M. O., &amp; Fadzil, A. F. M. (2016). The role of cash waqf in poverty alleviation: Issues, challenges, and the way forward. Journal of Islamic Accounting and Business Research, 7(2), 190–200.</w:t>
      </w:r>
    </w:p>
    <w:p w14:paraId="56DB17C9"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t>Saad, N. M., Kassim, S., &amp; Hamid, Z. (2019). Innovation in managing waqf assets: Implications for the Islamic financial sector. Journal of Islamic Finance, 8(2), 85–96.</w:t>
      </w:r>
    </w:p>
    <w:p w14:paraId="2E2C4E2A" w14:textId="77777777" w:rsidR="00B57D2B" w:rsidRPr="00B57D2B" w:rsidRDefault="00B57D2B" w:rsidP="00B57D2B">
      <w:pPr>
        <w:spacing w:after="0" w:line="240" w:lineRule="auto"/>
        <w:ind w:left="567" w:hanging="567"/>
        <w:contextualSpacing/>
        <w:jc w:val="both"/>
        <w:rPr>
          <w:rFonts w:ascii="Palatino Linotype" w:hAnsi="Palatino Linotype" w:cs="Times New Roman"/>
          <w:shd w:val="clear" w:color="auto" w:fill="FFFFFF"/>
        </w:rPr>
      </w:pPr>
      <w:r w:rsidRPr="00B57D2B">
        <w:rPr>
          <w:rFonts w:ascii="Palatino Linotype" w:hAnsi="Palatino Linotype" w:cs="Times New Roman"/>
          <w:shd w:val="clear" w:color="auto" w:fill="FFFFFF"/>
        </w:rPr>
        <w:lastRenderedPageBreak/>
        <w:t>Sadeq, A. M. (2002). Waqf, perpetual charity, and poverty alleviation. International Journal of Social Economics, 29(1/2), 135–151.</w:t>
      </w:r>
    </w:p>
    <w:p w14:paraId="1124FE6C" w14:textId="74BF7A6B" w:rsidR="00A83A03" w:rsidRPr="00A04124" w:rsidRDefault="00B57D2B" w:rsidP="00B57D2B">
      <w:pPr>
        <w:spacing w:after="0" w:line="240" w:lineRule="auto"/>
        <w:ind w:left="567" w:hanging="567"/>
        <w:contextualSpacing/>
        <w:jc w:val="both"/>
        <w:rPr>
          <w:rFonts w:ascii="Palatino Linotype" w:hAnsi="Palatino Linotype" w:cs="Times New Roman"/>
          <w:b/>
          <w:bCs/>
          <w:lang w:val="pt-BR"/>
        </w:rPr>
      </w:pPr>
      <w:r w:rsidRPr="00B57D2B">
        <w:rPr>
          <w:rFonts w:ascii="Palatino Linotype" w:hAnsi="Palatino Linotype" w:cs="Times New Roman"/>
          <w:shd w:val="clear" w:color="auto" w:fill="FFFFFF"/>
        </w:rPr>
        <w:t>Shatzmiller, M. (2001). Islamic institutions and property rights: The case of the public good waqf. Journal of the Economic and Social History of the Orient, 44(1), 44–74.</w:t>
      </w:r>
    </w:p>
    <w:p w14:paraId="11598CCD" w14:textId="77777777" w:rsidR="00FF09B2" w:rsidRPr="00A04124" w:rsidRDefault="00FF09B2" w:rsidP="00E14C15">
      <w:pPr>
        <w:spacing w:after="0" w:line="240" w:lineRule="auto"/>
        <w:jc w:val="both"/>
        <w:rPr>
          <w:rFonts w:ascii="Palatino Linotype" w:eastAsia="Times New Roman" w:hAnsi="Palatino Linotype"/>
          <w:color w:val="000000"/>
          <w:kern w:val="28"/>
          <w:sz w:val="20"/>
          <w:szCs w:val="20"/>
          <w:lang w:val="pt-BR" w:eastAsia="en-US"/>
          <w14:ligatures w14:val="standard"/>
          <w14:cntxtAlts/>
        </w:rPr>
      </w:pPr>
    </w:p>
    <w:p w14:paraId="7F0434FB" w14:textId="32759577" w:rsidR="00E83225" w:rsidRPr="00A04124" w:rsidRDefault="00E83225" w:rsidP="00072BFA">
      <w:pPr>
        <w:spacing w:after="0" w:line="240" w:lineRule="auto"/>
        <w:jc w:val="both"/>
        <w:rPr>
          <w:rFonts w:ascii="Palatino Linotype" w:eastAsia="Times New Roman" w:hAnsi="Palatino Linotype" w:cstheme="majorBidi"/>
          <w:b/>
          <w:sz w:val="20"/>
          <w:szCs w:val="20"/>
          <w:lang w:val="pt-BR"/>
        </w:rPr>
      </w:pPr>
    </w:p>
    <w:p w14:paraId="4627BD7C" w14:textId="77777777" w:rsidR="00406530" w:rsidRPr="00A04124" w:rsidRDefault="00406530" w:rsidP="00072BFA">
      <w:pPr>
        <w:widowControl w:val="0"/>
        <w:autoSpaceDE w:val="0"/>
        <w:autoSpaceDN w:val="0"/>
        <w:adjustRightInd w:val="0"/>
        <w:spacing w:after="0" w:line="240" w:lineRule="auto"/>
        <w:jc w:val="both"/>
        <w:rPr>
          <w:rFonts w:ascii="Palatino Linotype" w:hAnsi="Palatino Linotype"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A04124" w14:paraId="7E856A5E" w14:textId="77777777" w:rsidTr="00072BFA">
        <w:trPr>
          <w:trHeight w:val="982"/>
        </w:trPr>
        <w:tc>
          <w:tcPr>
            <w:tcW w:w="7913" w:type="dxa"/>
          </w:tcPr>
          <w:p w14:paraId="0815AFB6" w14:textId="34CFE5F1" w:rsidR="00A97E5F" w:rsidRPr="00A04124" w:rsidRDefault="00322CE4"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r w:rsidRPr="00A04124">
              <w:rPr>
                <w:rFonts w:ascii="Palatino Linotype" w:eastAsia="Times New Roman" w:hAnsi="Palatino Linotype"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A04124" w:rsidRDefault="00C746A1"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p>
          <w:p w14:paraId="073B06ED" w14:textId="1F43741E" w:rsidR="00E96360" w:rsidRPr="00A04124" w:rsidRDefault="00322CE4" w:rsidP="00F84A14">
            <w:pPr>
              <w:widowControl w:val="0"/>
              <w:autoSpaceDE w:val="0"/>
              <w:autoSpaceDN w:val="0"/>
              <w:adjustRightInd w:val="0"/>
              <w:spacing w:after="0" w:line="240" w:lineRule="auto"/>
              <w:jc w:val="center"/>
              <w:rPr>
                <w:rFonts w:ascii="Palatino Linotype" w:eastAsia="Times New Roman" w:hAnsi="Palatino Linotype" w:cstheme="majorBidi"/>
                <w:color w:val="76923C" w:themeColor="accent3" w:themeShade="BF"/>
              </w:rPr>
            </w:pPr>
            <w:r w:rsidRPr="00A04124">
              <w:rPr>
                <w:rStyle w:val="cc-license-title"/>
                <w:rFonts w:ascii="Palatino Linotype" w:eastAsiaTheme="majorEastAsia" w:hAnsi="Palatino Linotype" w:cstheme="majorBidi"/>
                <w:b/>
                <w:bCs/>
                <w:color w:val="0070C0"/>
              </w:rPr>
              <w:t xml:space="preserve">This work is licensed under a </w:t>
            </w:r>
            <w:hyperlink r:id="rId11" w:history="1">
              <w:r w:rsidRPr="00A04124">
                <w:rPr>
                  <w:rStyle w:val="Hyperlink"/>
                  <w:rFonts w:ascii="Palatino Linotype" w:eastAsiaTheme="majorEastAsia" w:hAnsi="Palatino Linotype" w:cstheme="majorBidi"/>
                  <w:b/>
                  <w:bCs/>
                  <w:color w:val="000000" w:themeColor="text1"/>
                  <w:u w:val="none"/>
                </w:rPr>
                <w:t>Creative Commons Attribution-ShareAlike 4.0 International License</w:t>
              </w:r>
            </w:hyperlink>
          </w:p>
        </w:tc>
      </w:tr>
    </w:tbl>
    <w:p w14:paraId="1D1C68E6" w14:textId="51B5BAF9" w:rsidR="00C746A1" w:rsidRPr="00A04124" w:rsidRDefault="00C746A1" w:rsidP="00F84A14">
      <w:pPr>
        <w:widowControl w:val="0"/>
        <w:autoSpaceDE w:val="0"/>
        <w:autoSpaceDN w:val="0"/>
        <w:adjustRightInd w:val="0"/>
        <w:spacing w:after="0" w:line="240" w:lineRule="auto"/>
        <w:jc w:val="both"/>
        <w:rPr>
          <w:rFonts w:ascii="Palatino Linotype" w:eastAsia="Times New Roman" w:hAnsi="Palatino Linotype" w:cstheme="majorBidi"/>
        </w:rPr>
      </w:pPr>
    </w:p>
    <w:sectPr w:rsidR="00C746A1" w:rsidRPr="00A04124" w:rsidSect="006973E4">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C54F3" w14:textId="77777777" w:rsidR="00AA040C" w:rsidRDefault="00AA040C">
      <w:pPr>
        <w:spacing w:after="0" w:line="240" w:lineRule="auto"/>
      </w:pPr>
      <w:r>
        <w:separator/>
      </w:r>
    </w:p>
  </w:endnote>
  <w:endnote w:type="continuationSeparator" w:id="0">
    <w:p w14:paraId="7CF0A6EF" w14:textId="77777777" w:rsidR="00AA040C" w:rsidRDefault="00AA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7875D95" w14:textId="27AC8B67" w:rsidR="00A50606" w:rsidRPr="00A04124" w:rsidRDefault="00A50606" w:rsidP="00A50606">
    <w:pPr>
      <w:contextualSpacing/>
      <w:rPr>
        <w:rFonts w:ascii="Palatino Linotype" w:hAnsi="Palatino Linotype"/>
        <w:b/>
        <w:bCs/>
        <w:lang w:val="en-ID"/>
      </w:rPr>
    </w:pPr>
    <w:r w:rsidRPr="00A04124">
      <w:rPr>
        <w:rFonts w:ascii="Palatino Linotype" w:hAnsi="Palatino Linotype"/>
        <w:b/>
        <w:bCs/>
        <w:lang w:val="en-ID"/>
      </w:rPr>
      <w:t>Adhi Nugraha, Teti Sunarti, Hendra Jaya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B597" w14:textId="77777777" w:rsidR="00AA040C" w:rsidRDefault="00AA040C">
      <w:pPr>
        <w:spacing w:after="0" w:line="240" w:lineRule="auto"/>
      </w:pPr>
      <w:r>
        <w:separator/>
      </w:r>
    </w:p>
  </w:footnote>
  <w:footnote w:type="continuationSeparator" w:id="0">
    <w:p w14:paraId="41D41B07" w14:textId="77777777" w:rsidR="00AA040C" w:rsidRDefault="00AA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52878260" w:rsidR="003965CE" w:rsidRPr="0015352B" w:rsidRDefault="00A50606" w:rsidP="007F0D3C">
          <w:pPr>
            <w:tabs>
              <w:tab w:val="center" w:pos="4513"/>
              <w:tab w:val="right" w:pos="9026"/>
            </w:tabs>
            <w:spacing w:after="0" w:line="240" w:lineRule="auto"/>
            <w:jc w:val="both"/>
            <w:rPr>
              <w:rFonts w:ascii="Times New Roman" w:hAnsi="Times New Roman" w:cs="Times New Roman"/>
              <w:bCs/>
              <w:i/>
              <w:color w:val="000000"/>
              <w:sz w:val="36"/>
              <w:szCs w:val="36"/>
            </w:rPr>
          </w:pPr>
          <w:r w:rsidRPr="00A50606">
            <w:rPr>
              <w:rFonts w:ascii="Times New Roman" w:eastAsia="Times New Roman" w:hAnsi="Times New Roman" w:cs="Times New Roman"/>
              <w:bCs/>
              <w:iCs/>
              <w:color w:val="000000"/>
              <w:sz w:val="24"/>
              <w:szCs w:val="24"/>
            </w:rPr>
            <w:t>Efektivitas Pengelolaan Dana Wakaf Produktif dalam Meningkatkan Kesejahteraan Masyarakat</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02DC"/>
    <w:multiLevelType w:val="hybridMultilevel"/>
    <w:tmpl w:val="C32055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0B60F73"/>
    <w:multiLevelType w:val="hybridMultilevel"/>
    <w:tmpl w:val="AB3E1044"/>
    <w:lvl w:ilvl="0" w:tplc="01E296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77881582">
    <w:abstractNumId w:val="1"/>
  </w:num>
  <w:num w:numId="2" w16cid:durableId="11336000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05DD"/>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1598"/>
    <w:rsid w:val="0018251D"/>
    <w:rsid w:val="001847F2"/>
    <w:rsid w:val="0018480F"/>
    <w:rsid w:val="00186096"/>
    <w:rsid w:val="00186DE9"/>
    <w:rsid w:val="00187CAA"/>
    <w:rsid w:val="00190FA5"/>
    <w:rsid w:val="001910F9"/>
    <w:rsid w:val="00194A8E"/>
    <w:rsid w:val="00194D7A"/>
    <w:rsid w:val="00196D46"/>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0FF1"/>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303"/>
    <w:rsid w:val="003F58CC"/>
    <w:rsid w:val="003F6268"/>
    <w:rsid w:val="00400409"/>
    <w:rsid w:val="00401B8A"/>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3A8C"/>
    <w:rsid w:val="00454066"/>
    <w:rsid w:val="004549B7"/>
    <w:rsid w:val="00462C33"/>
    <w:rsid w:val="004632DC"/>
    <w:rsid w:val="004634BC"/>
    <w:rsid w:val="00463BE7"/>
    <w:rsid w:val="004640A3"/>
    <w:rsid w:val="00465A2C"/>
    <w:rsid w:val="00467F47"/>
    <w:rsid w:val="00471EBF"/>
    <w:rsid w:val="00476AE2"/>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272"/>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1BE0"/>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0F98"/>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D13FF"/>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838D0"/>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2DBA"/>
    <w:rsid w:val="008F3FEE"/>
    <w:rsid w:val="008F7656"/>
    <w:rsid w:val="00901A9D"/>
    <w:rsid w:val="009061C1"/>
    <w:rsid w:val="00926D7C"/>
    <w:rsid w:val="009302DD"/>
    <w:rsid w:val="00931843"/>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7C38"/>
    <w:rsid w:val="00A04124"/>
    <w:rsid w:val="00A04E1C"/>
    <w:rsid w:val="00A0612A"/>
    <w:rsid w:val="00A11049"/>
    <w:rsid w:val="00A14F86"/>
    <w:rsid w:val="00A21114"/>
    <w:rsid w:val="00A2141E"/>
    <w:rsid w:val="00A216E4"/>
    <w:rsid w:val="00A220E1"/>
    <w:rsid w:val="00A27862"/>
    <w:rsid w:val="00A27DD7"/>
    <w:rsid w:val="00A307D4"/>
    <w:rsid w:val="00A30886"/>
    <w:rsid w:val="00A369E3"/>
    <w:rsid w:val="00A400F3"/>
    <w:rsid w:val="00A4383F"/>
    <w:rsid w:val="00A459F3"/>
    <w:rsid w:val="00A46844"/>
    <w:rsid w:val="00A50606"/>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93699"/>
    <w:rsid w:val="00A93888"/>
    <w:rsid w:val="00A93C76"/>
    <w:rsid w:val="00A97E5F"/>
    <w:rsid w:val="00AA040C"/>
    <w:rsid w:val="00AA05C8"/>
    <w:rsid w:val="00AA4AC7"/>
    <w:rsid w:val="00AA5166"/>
    <w:rsid w:val="00AB14B7"/>
    <w:rsid w:val="00AB1BB5"/>
    <w:rsid w:val="00AB30BD"/>
    <w:rsid w:val="00AC0511"/>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57D2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14E0"/>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1484"/>
    <w:rsid w:val="00F12943"/>
    <w:rsid w:val="00F12EC7"/>
    <w:rsid w:val="00F14BC6"/>
    <w:rsid w:val="00F16DD8"/>
    <w:rsid w:val="00F23241"/>
    <w:rsid w:val="00F248E0"/>
    <w:rsid w:val="00F261F3"/>
    <w:rsid w:val="00F276AE"/>
    <w:rsid w:val="00F308CF"/>
    <w:rsid w:val="00F36CD6"/>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E3CB9"/>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257788573">
      <w:bodyDiv w:val="1"/>
      <w:marLeft w:val="0"/>
      <w:marRight w:val="0"/>
      <w:marTop w:val="0"/>
      <w:marBottom w:val="0"/>
      <w:divBdr>
        <w:top w:val="none" w:sz="0" w:space="0" w:color="auto"/>
        <w:left w:val="none" w:sz="0" w:space="0" w:color="auto"/>
        <w:bottom w:val="none" w:sz="0" w:space="0" w:color="auto"/>
        <w:right w:val="none" w:sz="0" w:space="0" w:color="auto"/>
      </w:divBdr>
      <w:divsChild>
        <w:div w:id="2062168473">
          <w:marLeft w:val="0"/>
          <w:marRight w:val="0"/>
          <w:marTop w:val="0"/>
          <w:marBottom w:val="0"/>
          <w:divBdr>
            <w:top w:val="none" w:sz="0" w:space="0" w:color="auto"/>
            <w:left w:val="none" w:sz="0" w:space="0" w:color="auto"/>
            <w:bottom w:val="none" w:sz="0" w:space="0" w:color="auto"/>
            <w:right w:val="none" w:sz="0" w:space="0" w:color="auto"/>
          </w:divBdr>
          <w:divsChild>
            <w:div w:id="353390053">
              <w:marLeft w:val="0"/>
              <w:marRight w:val="0"/>
              <w:marTop w:val="0"/>
              <w:marBottom w:val="0"/>
              <w:divBdr>
                <w:top w:val="none" w:sz="0" w:space="0" w:color="auto"/>
                <w:left w:val="none" w:sz="0" w:space="0" w:color="auto"/>
                <w:bottom w:val="none" w:sz="0" w:space="0" w:color="auto"/>
                <w:right w:val="none" w:sz="0" w:space="0" w:color="auto"/>
              </w:divBdr>
              <w:divsChild>
                <w:div w:id="2116903823">
                  <w:marLeft w:val="0"/>
                  <w:marRight w:val="0"/>
                  <w:marTop w:val="0"/>
                  <w:marBottom w:val="0"/>
                  <w:divBdr>
                    <w:top w:val="none" w:sz="0" w:space="0" w:color="auto"/>
                    <w:left w:val="none" w:sz="0" w:space="0" w:color="auto"/>
                    <w:bottom w:val="none" w:sz="0" w:space="0" w:color="auto"/>
                    <w:right w:val="none" w:sz="0" w:space="0" w:color="auto"/>
                  </w:divBdr>
                  <w:divsChild>
                    <w:div w:id="979190128">
                      <w:marLeft w:val="0"/>
                      <w:marRight w:val="0"/>
                      <w:marTop w:val="0"/>
                      <w:marBottom w:val="0"/>
                      <w:divBdr>
                        <w:top w:val="none" w:sz="0" w:space="0" w:color="auto"/>
                        <w:left w:val="none" w:sz="0" w:space="0" w:color="auto"/>
                        <w:bottom w:val="none" w:sz="0" w:space="0" w:color="auto"/>
                        <w:right w:val="none" w:sz="0" w:space="0" w:color="auto"/>
                      </w:divBdr>
                      <w:divsChild>
                        <w:div w:id="1932086315">
                          <w:marLeft w:val="0"/>
                          <w:marRight w:val="0"/>
                          <w:marTop w:val="0"/>
                          <w:marBottom w:val="0"/>
                          <w:divBdr>
                            <w:top w:val="none" w:sz="0" w:space="0" w:color="auto"/>
                            <w:left w:val="none" w:sz="0" w:space="0" w:color="auto"/>
                            <w:bottom w:val="none" w:sz="0" w:space="0" w:color="auto"/>
                            <w:right w:val="none" w:sz="0" w:space="0" w:color="auto"/>
                          </w:divBdr>
                          <w:divsChild>
                            <w:div w:id="9110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53674716">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81988809">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680620540">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2022-02-14T02:05:00Z</cp:lastPrinted>
  <dcterms:created xsi:type="dcterms:W3CDTF">2024-12-16T08:46:00Z</dcterms:created>
  <dcterms:modified xsi:type="dcterms:W3CDTF">2024-12-17T00:23:00Z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