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6E1F78" w14:paraId="18E24D17" w14:textId="77777777" w:rsidTr="00D47C77">
        <w:trPr>
          <w:trHeight w:val="1087"/>
        </w:trPr>
        <w:tc>
          <w:tcPr>
            <w:tcW w:w="236" w:type="dxa"/>
            <w:shd w:val="clear" w:color="auto" w:fill="auto"/>
          </w:tcPr>
          <w:p w14:paraId="6F10E994" w14:textId="0AF9321C" w:rsidR="001F70DF" w:rsidRPr="006E1F78" w:rsidRDefault="001F70DF" w:rsidP="00F84A14">
            <w:pPr>
              <w:rPr>
                <w:rFonts w:asciiTheme="majorBidi" w:hAnsiTheme="majorBidi" w:cstheme="majorBidi"/>
                <w:b/>
                <w:sz w:val="22"/>
                <w:szCs w:val="22"/>
              </w:rPr>
            </w:pPr>
          </w:p>
        </w:tc>
        <w:tc>
          <w:tcPr>
            <w:tcW w:w="7775" w:type="dxa"/>
            <w:shd w:val="clear" w:color="auto" w:fill="auto"/>
          </w:tcPr>
          <w:p w14:paraId="76B73E9A" w14:textId="2A891A48" w:rsidR="00C60367" w:rsidRPr="00C702AF" w:rsidRDefault="00FF49E0" w:rsidP="00C60367">
            <w:pPr>
              <w:jc w:val="center"/>
              <w:rPr>
                <w:b/>
                <w:bCs/>
                <w:sz w:val="24"/>
              </w:rPr>
            </w:pPr>
            <w:r w:rsidRPr="00C702AF">
              <w:rPr>
                <w:b/>
                <w:bCs/>
                <w:sz w:val="24"/>
                <w:lang w:val="id-ID"/>
              </w:rPr>
              <w:t>IN</w:t>
            </w:r>
            <w:r w:rsidRPr="00C702AF">
              <w:rPr>
                <w:b/>
                <w:bCs/>
                <w:sz w:val="24"/>
              </w:rPr>
              <w:t>TERVENSI BERBASIS</w:t>
            </w:r>
            <w:r w:rsidRPr="00C702AF">
              <w:rPr>
                <w:b/>
                <w:bCs/>
                <w:sz w:val="24"/>
                <w:lang w:val="id-ID"/>
              </w:rPr>
              <w:t xml:space="preserve"> MASYARAKAT</w:t>
            </w:r>
            <w:r w:rsidRPr="00C702AF">
              <w:rPr>
                <w:b/>
                <w:bCs/>
                <w:sz w:val="24"/>
              </w:rPr>
              <w:t>;</w:t>
            </w:r>
          </w:p>
          <w:p w14:paraId="235DC5E6" w14:textId="777F7891" w:rsidR="003965CE" w:rsidRPr="003516BB" w:rsidRDefault="00FF49E0" w:rsidP="00C60367">
            <w:pPr>
              <w:jc w:val="center"/>
              <w:rPr>
                <w:b/>
                <w:sz w:val="24"/>
                <w:lang w:val="id-ID"/>
              </w:rPr>
            </w:pPr>
            <w:r w:rsidRPr="00C702AF">
              <w:rPr>
                <w:b/>
                <w:bCs/>
                <w:sz w:val="24"/>
                <w:lang w:val="id-ID"/>
              </w:rPr>
              <w:t xml:space="preserve">COLLABORATIVE GOVERNANCE DALAM PENANGANAN REHABILITASI NARKOBA </w:t>
            </w:r>
          </w:p>
          <w:p w14:paraId="7330BA72" w14:textId="77777777" w:rsidR="00072BFA" w:rsidRDefault="00072BFA" w:rsidP="00072BFA">
            <w:pPr>
              <w:jc w:val="center"/>
              <w:rPr>
                <w:rFonts w:asciiTheme="majorBidi" w:hAnsiTheme="majorBidi" w:cstheme="majorBidi"/>
                <w:b/>
              </w:rPr>
            </w:pPr>
          </w:p>
          <w:p w14:paraId="2F6D97BC" w14:textId="77777777" w:rsidR="00072BFA" w:rsidRDefault="00072BFA" w:rsidP="00072BFA">
            <w:pPr>
              <w:jc w:val="center"/>
              <w:rPr>
                <w:rFonts w:asciiTheme="majorBidi" w:hAnsiTheme="majorBidi" w:cstheme="majorBidi"/>
                <w:b/>
              </w:rPr>
            </w:pPr>
          </w:p>
          <w:p w14:paraId="26FBA7DB" w14:textId="710C4207" w:rsidR="00FF49E0" w:rsidRPr="005F5675" w:rsidRDefault="00FF49E0" w:rsidP="00FF49E0">
            <w:pPr>
              <w:rPr>
                <w:b/>
              </w:rPr>
            </w:pPr>
            <w:r>
              <w:rPr>
                <w:b/>
                <w:lang w:val="en-ID"/>
              </w:rPr>
              <w:t>Tony Gunawan</w:t>
            </w:r>
            <w:r w:rsidRPr="005165DC">
              <w:rPr>
                <w:b/>
                <w:vertAlign w:val="superscript"/>
                <w:lang w:val="en-ID"/>
              </w:rPr>
              <w:t>1</w:t>
            </w:r>
            <w:r>
              <w:rPr>
                <w:b/>
                <w:lang w:val="en-ID"/>
              </w:rPr>
              <w:t>, Denok Kurniasih</w:t>
            </w:r>
            <w:r w:rsidRPr="005165DC">
              <w:rPr>
                <w:b/>
                <w:vertAlign w:val="superscript"/>
                <w:lang w:val="en-ID"/>
              </w:rPr>
              <w:t>2</w:t>
            </w:r>
            <w:r>
              <w:rPr>
                <w:b/>
                <w:lang w:val="en-ID"/>
              </w:rPr>
              <w:t>, Tobirin</w:t>
            </w:r>
            <w:r>
              <w:rPr>
                <w:b/>
                <w:vertAlign w:val="superscript"/>
                <w:lang w:val="id-ID"/>
              </w:rPr>
              <w:t>3</w:t>
            </w:r>
            <w:r>
              <w:rPr>
                <w:b/>
                <w:lang w:val="en-ID"/>
              </w:rPr>
              <w:t>,</w:t>
            </w:r>
          </w:p>
          <w:p w14:paraId="1F634F35" w14:textId="77777777" w:rsidR="00FF49E0" w:rsidRPr="00FF49E0" w:rsidRDefault="00FF49E0" w:rsidP="00FF49E0">
            <w:r w:rsidRPr="00FF49E0">
              <w:rPr>
                <w:vertAlign w:val="superscript"/>
              </w:rPr>
              <w:t xml:space="preserve">1,2,3 </w:t>
            </w:r>
            <w:r w:rsidRPr="00FF49E0">
              <w:t>Magister Administrasi Publik, Fakultas Ilmu Sosial dan Ilmu Politik, Universitas Jenderal Soedirman, Indonesia</w:t>
            </w:r>
          </w:p>
          <w:p w14:paraId="3FE26524" w14:textId="0CEE5F94" w:rsidR="00FF49E0" w:rsidRPr="00E353A0" w:rsidRDefault="00FF49E0" w:rsidP="00FF49E0">
            <w:pPr>
              <w:contextualSpacing/>
              <w:rPr>
                <w:bCs/>
                <w:color w:val="auto"/>
                <w:lang w:val="en-ID"/>
              </w:rPr>
            </w:pPr>
            <w:r w:rsidRPr="00E353A0">
              <w:rPr>
                <w:lang w:val="en-ID"/>
              </w:rPr>
              <w:t xml:space="preserve">Email: </w:t>
            </w:r>
            <w:r>
              <w:rPr>
                <w:lang w:val="en-ID"/>
              </w:rPr>
              <w:t>tony.gunawan@mhs.unsoed.ac.id</w:t>
            </w:r>
            <w:r w:rsidRPr="00850CFB">
              <w:rPr>
                <w:vertAlign w:val="superscript"/>
                <w:lang w:val="en-ID"/>
              </w:rPr>
              <w:t>1</w:t>
            </w:r>
            <w:r w:rsidRPr="00850CFB">
              <w:rPr>
                <w:lang w:val="en-ID"/>
              </w:rPr>
              <w:t xml:space="preserve">, </w:t>
            </w:r>
            <w:r w:rsidRPr="009627AC">
              <w:rPr>
                <w:lang w:val="en-ID"/>
              </w:rPr>
              <w:t>denok.kurniasih@unsoed.ac.id</w:t>
            </w:r>
            <w:r w:rsidRPr="00850CFB">
              <w:rPr>
                <w:vertAlign w:val="superscript"/>
                <w:lang w:val="en-ID"/>
              </w:rPr>
              <w:t xml:space="preserve"> 2</w:t>
            </w:r>
            <w:r w:rsidRPr="00850CFB">
              <w:rPr>
                <w:lang w:val="en-ID"/>
              </w:rPr>
              <w:t xml:space="preserve">, </w:t>
            </w:r>
            <w:r w:rsidRPr="009627AC">
              <w:rPr>
                <w:lang w:val="en-ID"/>
              </w:rPr>
              <w:t>tobirin@unsoed.ac.id</w:t>
            </w:r>
            <w:r w:rsidRPr="00850CFB">
              <w:rPr>
                <w:vertAlign w:val="superscript"/>
                <w:lang w:val="en-ID"/>
              </w:rPr>
              <w:t xml:space="preserve"> 3</w:t>
            </w:r>
          </w:p>
          <w:p w14:paraId="7B662690" w14:textId="5307F724" w:rsidR="00BD5759" w:rsidRPr="003965CE" w:rsidRDefault="00BD5759" w:rsidP="00C60367">
            <w:pPr>
              <w:pBdr>
                <w:bottom w:val="single" w:sz="4" w:space="1" w:color="auto"/>
              </w:pBdr>
            </w:pP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6E1F78" w14:paraId="00EC74F2" w14:textId="77777777" w:rsidTr="00D47C77">
        <w:tc>
          <w:tcPr>
            <w:tcW w:w="250" w:type="dxa"/>
          </w:tcPr>
          <w:p w14:paraId="0568784F" w14:textId="4725CF58" w:rsidR="00C75610" w:rsidRPr="006E1F78" w:rsidRDefault="00C75610" w:rsidP="00F84A14">
            <w:pPr>
              <w:spacing w:after="0" w:line="240" w:lineRule="auto"/>
              <w:jc w:val="both"/>
              <w:rPr>
                <w:rFonts w:asciiTheme="majorBidi" w:eastAsia="Times New Roman" w:hAnsiTheme="majorBidi" w:cstheme="majorBidi"/>
                <w:b/>
                <w:color w:val="4F6228" w:themeColor="accent3" w:themeShade="80"/>
              </w:rPr>
            </w:pPr>
          </w:p>
        </w:tc>
        <w:tc>
          <w:tcPr>
            <w:tcW w:w="7778" w:type="dxa"/>
          </w:tcPr>
          <w:p w14:paraId="5BF1D74B" w14:textId="37D30770" w:rsidR="00E14C15" w:rsidRPr="00C60367" w:rsidRDefault="00E14C15" w:rsidP="00E14C15">
            <w:pPr>
              <w:spacing w:after="120" w:line="285" w:lineRule="auto"/>
              <w:jc w:val="center"/>
              <w:rPr>
                <w:rFonts w:ascii="Times New Roman" w:eastAsia="Times New Roman" w:hAnsi="Times New Roman" w:cs="Times New Roman"/>
                <w:b/>
                <w:bCs/>
                <w:color w:val="0070C0"/>
                <w:kern w:val="28"/>
                <w:sz w:val="20"/>
                <w:szCs w:val="20"/>
                <w:lang w:eastAsia="en-US"/>
                <w14:ligatures w14:val="standard"/>
                <w14:cntxtAlts/>
              </w:rPr>
            </w:pPr>
            <w:r w:rsidRPr="00C60367">
              <w:rPr>
                <w:rFonts w:ascii="Times New Roman" w:eastAsia="Times New Roman" w:hAnsi="Times New Roman" w:cs="Times New Roman"/>
                <w:b/>
                <w:bCs/>
                <w:color w:val="0070C0"/>
                <w:kern w:val="28"/>
                <w:sz w:val="24"/>
                <w:szCs w:val="24"/>
                <w:lang w:eastAsia="en-US"/>
                <w14:ligatures w14:val="standard"/>
                <w14:cntxtAlts/>
              </w:rPr>
              <w:t>Abstrak</w:t>
            </w:r>
          </w:p>
          <w:p w14:paraId="67DD33CE" w14:textId="0E46FEB4" w:rsidR="00E14C15" w:rsidRPr="00FF49E0" w:rsidRDefault="00C60367" w:rsidP="004D5DD4">
            <w:pPr>
              <w:spacing w:after="120" w:line="240" w:lineRule="auto"/>
              <w:jc w:val="both"/>
              <w:rPr>
                <w:rFonts w:ascii="Times New Roman" w:eastAsia="Times New Roman" w:hAnsi="Times New Roman" w:cs="Times New Roman"/>
                <w:b/>
                <w:color w:val="000000"/>
                <w:kern w:val="28"/>
                <w:sz w:val="20"/>
                <w:szCs w:val="20"/>
                <w:lang w:val="id-ID" w:eastAsia="en-US"/>
                <w14:ligatures w14:val="standard"/>
                <w14:cntxtAlts/>
              </w:rPr>
            </w:pPr>
            <w:r w:rsidRPr="00FF49E0">
              <w:rPr>
                <w:rFonts w:ascii="Times New Roman" w:eastAsia="Times New Roman" w:hAnsi="Times New Roman" w:cs="Times New Roman"/>
                <w:color w:val="000000"/>
                <w:kern w:val="28"/>
                <w:sz w:val="20"/>
                <w:szCs w:val="20"/>
                <w:lang w:val="id-ID" w:eastAsia="en-US"/>
                <w14:ligatures w14:val="standard"/>
                <w14:cntxtAlts/>
              </w:rPr>
              <w:t>Narkoba menjadi persoalan pelik dari tingkat lokal sampai global. Strategi kebijakan juga telah diterapkan</w:t>
            </w:r>
            <w:r w:rsidR="00927942" w:rsidRPr="00FF49E0">
              <w:rPr>
                <w:rFonts w:ascii="Times New Roman" w:eastAsia="Times New Roman" w:hAnsi="Times New Roman" w:cs="Times New Roman"/>
                <w:color w:val="000000"/>
                <w:kern w:val="28"/>
                <w:sz w:val="20"/>
                <w:szCs w:val="20"/>
                <w:lang w:val="en-ID" w:eastAsia="en-US"/>
                <w14:ligatures w14:val="standard"/>
                <w14:cntxtAlts/>
              </w:rPr>
              <w:t xml:space="preserve"> oleh pemerintah dalam menanganai persoalan narkoba</w:t>
            </w:r>
            <w:r w:rsidRPr="00FF49E0">
              <w:rPr>
                <w:rFonts w:ascii="Times New Roman" w:eastAsia="Times New Roman" w:hAnsi="Times New Roman" w:cs="Times New Roman"/>
                <w:color w:val="000000"/>
                <w:kern w:val="28"/>
                <w:sz w:val="20"/>
                <w:szCs w:val="20"/>
                <w:lang w:val="id-ID" w:eastAsia="en-US"/>
                <w14:ligatures w14:val="standard"/>
                <w14:cntxtAlts/>
              </w:rPr>
              <w:t xml:space="preserve">. </w:t>
            </w:r>
            <w:r w:rsidR="00AD5BD4" w:rsidRPr="00FF49E0">
              <w:rPr>
                <w:rFonts w:ascii="Times New Roman" w:eastAsia="Times New Roman" w:hAnsi="Times New Roman" w:cs="Times New Roman"/>
                <w:color w:val="000000"/>
                <w:kern w:val="28"/>
                <w:sz w:val="20"/>
                <w:szCs w:val="20"/>
                <w:lang w:val="en-ID" w:eastAsia="en-US"/>
                <w14:ligatures w14:val="standard"/>
                <w14:cntxtAlts/>
              </w:rPr>
              <w:t xml:space="preserve">Upaya pemerintah melalui kebijakan </w:t>
            </w:r>
            <w:r w:rsidR="00AD5BD4" w:rsidRPr="00FF49E0">
              <w:rPr>
                <w:rFonts w:ascii="Times New Roman" w:eastAsia="Times New Roman" w:hAnsi="Times New Roman" w:cs="Times New Roman"/>
                <w:i/>
                <w:iCs/>
                <w:color w:val="000000"/>
                <w:kern w:val="28"/>
                <w:sz w:val="20"/>
                <w:szCs w:val="20"/>
                <w:lang w:val="en-ID" w:eastAsia="en-US"/>
                <w14:ligatures w14:val="standard"/>
                <w14:cntxtAlts/>
              </w:rPr>
              <w:t xml:space="preserve">supply reduction </w:t>
            </w:r>
            <w:r w:rsidR="00AD5BD4" w:rsidRPr="00FF49E0">
              <w:rPr>
                <w:rFonts w:ascii="Times New Roman" w:eastAsia="Times New Roman" w:hAnsi="Times New Roman" w:cs="Times New Roman"/>
                <w:color w:val="000000"/>
                <w:kern w:val="28"/>
                <w:sz w:val="20"/>
                <w:szCs w:val="20"/>
                <w:lang w:val="en-ID" w:eastAsia="en-US"/>
                <w14:ligatures w14:val="standard"/>
                <w14:cntxtAlts/>
              </w:rPr>
              <w:t xml:space="preserve">dan </w:t>
            </w:r>
            <w:r w:rsidR="00AD5BD4" w:rsidRPr="00FF49E0">
              <w:rPr>
                <w:rFonts w:ascii="Times New Roman" w:eastAsia="Times New Roman" w:hAnsi="Times New Roman" w:cs="Times New Roman"/>
                <w:i/>
                <w:iCs/>
                <w:color w:val="000000"/>
                <w:kern w:val="28"/>
                <w:sz w:val="20"/>
                <w:szCs w:val="20"/>
                <w:lang w:val="en-ID" w:eastAsia="en-US"/>
                <w14:ligatures w14:val="standard"/>
                <w14:cntxtAlts/>
              </w:rPr>
              <w:t>demand reduction</w:t>
            </w:r>
            <w:r w:rsidR="00AD5BD4" w:rsidRPr="00FF49E0">
              <w:rPr>
                <w:rFonts w:ascii="Times New Roman" w:eastAsia="Times New Roman" w:hAnsi="Times New Roman" w:cs="Times New Roman"/>
                <w:color w:val="000000"/>
                <w:kern w:val="28"/>
                <w:sz w:val="20"/>
                <w:szCs w:val="20"/>
                <w:lang w:val="en-ID" w:eastAsia="en-US"/>
                <w14:ligatures w14:val="standard"/>
                <w14:cntxtAlts/>
              </w:rPr>
              <w:t xml:space="preserve"> nampaknya belum memberikan hasil yang optimal dalam mengurangi angka prevalensi penyalahgunaan narkoba.</w:t>
            </w:r>
            <w:r w:rsidR="00927942" w:rsidRPr="00FF49E0">
              <w:rPr>
                <w:rFonts w:ascii="Times New Roman" w:eastAsia="Times New Roman" w:hAnsi="Times New Roman" w:cs="Times New Roman"/>
                <w:color w:val="000000"/>
                <w:kern w:val="28"/>
                <w:sz w:val="20"/>
                <w:szCs w:val="20"/>
                <w:lang w:val="en-ID" w:eastAsia="en-US"/>
                <w14:ligatures w14:val="standard"/>
                <w14:cntxtAlts/>
              </w:rPr>
              <w:t xml:space="preserve"> </w:t>
            </w:r>
            <w:r w:rsidR="00632064" w:rsidRPr="00FF49E0">
              <w:rPr>
                <w:rFonts w:ascii="Times New Roman" w:eastAsia="Times New Roman" w:hAnsi="Times New Roman" w:cs="Times New Roman"/>
                <w:color w:val="000000"/>
                <w:kern w:val="28"/>
                <w:sz w:val="20"/>
                <w:szCs w:val="20"/>
                <w:lang w:val="en-ID" w:eastAsia="en-US"/>
                <w14:ligatures w14:val="standard"/>
                <w14:cntxtAlts/>
              </w:rPr>
              <w:t>Masih banyak narkoba yang masuk dan beredar di Indonesia. Jumlah penyalahgunaan narkoba juga masih tinggi hingga ke pelosok pedesaan.</w:t>
            </w:r>
            <w:r w:rsidR="00D7421D" w:rsidRPr="00FF49E0">
              <w:rPr>
                <w:rFonts w:ascii="Times New Roman" w:eastAsia="Times New Roman" w:hAnsi="Times New Roman" w:cs="Times New Roman"/>
                <w:color w:val="000000"/>
                <w:kern w:val="28"/>
                <w:sz w:val="20"/>
                <w:szCs w:val="20"/>
                <w:lang w:val="en-ID" w:eastAsia="en-US"/>
                <w14:ligatures w14:val="standard"/>
                <w14:cntxtAlts/>
              </w:rPr>
              <w:t xml:space="preserve"> Kebijakan rehabilitasi penyalahgunaan narkoba semakin ditingkatkan oleh pemerintah. Kebijakan ini dilakukan salah satunya dengan meningkatkan keterlibatan masyarakat. Dengan menggunakan modal sosial yang dimiliki oleh komunitas, para pecandu dan penyalahguna narkoba pada level ringan dapat dijangkau untuk mendapatkan pelayanan. </w:t>
            </w:r>
            <w:r w:rsidRPr="00FF49E0">
              <w:rPr>
                <w:rFonts w:ascii="Times New Roman" w:eastAsia="Times New Roman" w:hAnsi="Times New Roman" w:cs="Times New Roman"/>
                <w:color w:val="000000"/>
                <w:kern w:val="28"/>
                <w:sz w:val="20"/>
                <w:szCs w:val="20"/>
                <w:lang w:val="id-ID" w:eastAsia="en-US"/>
                <w14:ligatures w14:val="standard"/>
                <w14:cntxtAlts/>
              </w:rPr>
              <w:t xml:space="preserve">Tulisan ini untuk menganalisis sekaligus mengembangkan implementasi kebijakan yang menggunakan pendekatan komunal melalui program Intervensi Berbasis Masyarakat (IBM). Melalui konsep </w:t>
            </w:r>
            <w:r w:rsidRPr="00FF49E0">
              <w:rPr>
                <w:rFonts w:ascii="Times New Roman" w:eastAsia="Times New Roman" w:hAnsi="Times New Roman" w:cs="Times New Roman"/>
                <w:i/>
                <w:iCs/>
                <w:color w:val="000000"/>
                <w:kern w:val="28"/>
                <w:sz w:val="20"/>
                <w:szCs w:val="20"/>
                <w:lang w:val="id-ID" w:eastAsia="en-US"/>
                <w14:ligatures w14:val="standard"/>
                <w14:cntxtAlts/>
              </w:rPr>
              <w:t>collaborative governance</w:t>
            </w:r>
            <w:r w:rsidRPr="00FF49E0">
              <w:rPr>
                <w:rFonts w:ascii="Times New Roman" w:eastAsia="Times New Roman" w:hAnsi="Times New Roman" w:cs="Times New Roman"/>
                <w:color w:val="000000"/>
                <w:kern w:val="28"/>
                <w:sz w:val="20"/>
                <w:szCs w:val="20"/>
                <w:lang w:val="id-ID" w:eastAsia="en-US"/>
                <w14:ligatures w14:val="standard"/>
                <w14:cntxtAlts/>
              </w:rPr>
              <w:t xml:space="preserve">, kami membaca upaya pemerintah untuk mengintegrasikan modal sosial pada masyarakat untuk diberdayakan dalam proses rehabilitasi. Modal sosial digunakan sebagai dasar kolaborasi. Metode yang digunakan untuk membedah konsep tersebut menggunakan kualitatif dan wawancara dengan eksekutor kebijakan. Hasil analisa menunjukkan terdapat pembagian tanggung jawab para aktor. Kesamaan persepsi dan tujuan diimplementasikan pada tataran aktivitas bersama dalam kerja sama formal. Makalah ini menunjukkan bahwa pemberdayaan masyarakat pada pelayanan publik dalam kerangka </w:t>
            </w:r>
            <w:r w:rsidRPr="00FF49E0">
              <w:rPr>
                <w:rFonts w:ascii="Times New Roman" w:eastAsia="Times New Roman" w:hAnsi="Times New Roman" w:cs="Times New Roman"/>
                <w:i/>
                <w:iCs/>
                <w:color w:val="000000"/>
                <w:kern w:val="28"/>
                <w:sz w:val="20"/>
                <w:szCs w:val="20"/>
                <w:lang w:val="id-ID" w:eastAsia="en-US"/>
                <w14:ligatures w14:val="standard"/>
                <w14:cntxtAlts/>
              </w:rPr>
              <w:t>collaborative governance</w:t>
            </w:r>
            <w:r w:rsidRPr="00FF49E0">
              <w:rPr>
                <w:rFonts w:ascii="Times New Roman" w:eastAsia="Times New Roman" w:hAnsi="Times New Roman" w:cs="Times New Roman"/>
                <w:color w:val="000000"/>
                <w:kern w:val="28"/>
                <w:sz w:val="20"/>
                <w:szCs w:val="20"/>
                <w:lang w:val="id-ID" w:eastAsia="en-US"/>
                <w14:ligatures w14:val="standard"/>
                <w14:cntxtAlts/>
              </w:rPr>
              <w:t xml:space="preserve"> menjadi terobosan yang efektif. Pemerintah tidak lagi dominan, kewenangan dan tanggung jawab dibagi dengan kelompok masyarakat untuk mengelola masalah publik. Perlu diperluas konsep </w:t>
            </w:r>
            <w:r w:rsidRPr="00FF49E0">
              <w:rPr>
                <w:rFonts w:ascii="Times New Roman" w:eastAsia="Times New Roman" w:hAnsi="Times New Roman" w:cs="Times New Roman"/>
                <w:i/>
                <w:iCs/>
                <w:color w:val="000000"/>
                <w:kern w:val="28"/>
                <w:sz w:val="20"/>
                <w:szCs w:val="20"/>
                <w:lang w:val="id-ID" w:eastAsia="en-US"/>
                <w14:ligatures w14:val="standard"/>
                <w14:cntxtAlts/>
              </w:rPr>
              <w:t>collaborative governance</w:t>
            </w:r>
            <w:r w:rsidRPr="00FF49E0">
              <w:rPr>
                <w:rFonts w:ascii="Times New Roman" w:eastAsia="Times New Roman" w:hAnsi="Times New Roman" w:cs="Times New Roman"/>
                <w:color w:val="000000"/>
                <w:kern w:val="28"/>
                <w:sz w:val="20"/>
                <w:szCs w:val="20"/>
                <w:lang w:val="id-ID" w:eastAsia="en-US"/>
                <w14:ligatures w14:val="standard"/>
                <w14:cntxtAlts/>
              </w:rPr>
              <w:t xml:space="preserve"> pada sektor publik lainnya. Kami juga menemukan adanya kelemahan dalam implementasi kolaborasi. Relasi kuasa pada pemerintahan lokal menjadi satu faktor tersumbatnya pengelolaan pelayanan publik walaupun bersifat sektoral dan kasuistik.</w:t>
            </w:r>
          </w:p>
          <w:p w14:paraId="01CC7F0F" w14:textId="13E90416" w:rsidR="00C60367" w:rsidRPr="00FF49E0" w:rsidRDefault="00C60367" w:rsidP="00F86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5" w:lineRule="auto"/>
              <w:jc w:val="both"/>
              <w:rPr>
                <w:rFonts w:ascii="Times New Roman" w:eastAsia="Times New Roman" w:hAnsi="Times New Roman" w:cs="Times New Roman"/>
                <w:iCs/>
                <w:kern w:val="28"/>
                <w:sz w:val="20"/>
                <w:szCs w:val="20"/>
                <w:lang w:val="id-ID" w:eastAsia="en-US"/>
                <w14:ligatures w14:val="standard"/>
                <w14:cntxtAlts/>
              </w:rPr>
            </w:pPr>
            <w:r w:rsidRPr="00FF49E0">
              <w:rPr>
                <w:rFonts w:ascii="Times New Roman" w:eastAsia="Times New Roman" w:hAnsi="Times New Roman" w:cs="Times New Roman"/>
                <w:b/>
                <w:i/>
                <w:color w:val="000000"/>
                <w:kern w:val="28"/>
                <w:sz w:val="20"/>
                <w:szCs w:val="20"/>
                <w:lang w:eastAsia="en-US"/>
                <w14:ligatures w14:val="standard"/>
                <w14:cntxtAlts/>
              </w:rPr>
              <w:t>Kata Kunci</w:t>
            </w:r>
            <w:r w:rsidRPr="00FF49E0">
              <w:rPr>
                <w:rFonts w:ascii="Times New Roman" w:eastAsia="Times New Roman" w:hAnsi="Times New Roman" w:cs="Times New Roman"/>
                <w:i/>
                <w:color w:val="000000"/>
                <w:kern w:val="28"/>
                <w:sz w:val="20"/>
                <w:szCs w:val="20"/>
                <w:lang w:eastAsia="en-US"/>
                <w14:ligatures w14:val="standard"/>
                <w14:cntxtAlts/>
              </w:rPr>
              <w:t xml:space="preserve">: </w:t>
            </w:r>
            <w:r w:rsidR="00297F1B" w:rsidRPr="00FF49E0">
              <w:rPr>
                <w:rFonts w:ascii="Times New Roman" w:eastAsia="Times New Roman" w:hAnsi="Times New Roman" w:cs="Times New Roman"/>
                <w:iCs/>
                <w:kern w:val="28"/>
                <w:sz w:val="20"/>
                <w:szCs w:val="20"/>
                <w:lang w:val="id-ID" w:eastAsia="en-US"/>
                <w14:ligatures w14:val="standard"/>
                <w14:cntxtAlts/>
              </w:rPr>
              <w:t>narkoba</w:t>
            </w:r>
            <w:r w:rsidR="00297F1B" w:rsidRPr="00FF49E0">
              <w:rPr>
                <w:rFonts w:ascii="Times New Roman" w:eastAsia="Times New Roman" w:hAnsi="Times New Roman" w:cs="Times New Roman"/>
                <w:iCs/>
                <w:kern w:val="28"/>
                <w:sz w:val="20"/>
                <w:szCs w:val="20"/>
                <w:lang w:eastAsia="en-US"/>
                <w14:ligatures w14:val="standard"/>
                <w14:cntxtAlts/>
              </w:rPr>
              <w:t xml:space="preserve">, </w:t>
            </w:r>
            <w:r w:rsidRPr="00FF49E0">
              <w:rPr>
                <w:rFonts w:ascii="Times New Roman" w:eastAsia="Times New Roman" w:hAnsi="Times New Roman" w:cs="Times New Roman"/>
                <w:iCs/>
                <w:kern w:val="28"/>
                <w:sz w:val="20"/>
                <w:szCs w:val="20"/>
                <w:lang w:val="id-ID" w:eastAsia="en-US"/>
                <w14:ligatures w14:val="standard"/>
                <w14:cntxtAlts/>
              </w:rPr>
              <w:t>collaborative governance, pemberdayaan masyarakat, modal sosial</w:t>
            </w:r>
          </w:p>
          <w:p w14:paraId="6323E74C" w14:textId="77777777" w:rsidR="00F864D7" w:rsidRPr="00F864D7" w:rsidRDefault="00F864D7" w:rsidP="00F86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5" w:lineRule="auto"/>
              <w:jc w:val="both"/>
              <w:rPr>
                <w:rFonts w:ascii="Times New Roman" w:eastAsia="Times New Roman" w:hAnsi="Times New Roman" w:cs="Times New Roman"/>
                <w:color w:val="000000"/>
                <w:kern w:val="28"/>
                <w:sz w:val="20"/>
                <w:szCs w:val="20"/>
                <w:lang w:eastAsia="en-US"/>
                <w14:ligatures w14:val="standard"/>
                <w14:cntxtAlts/>
              </w:rPr>
            </w:pPr>
          </w:p>
          <w:p w14:paraId="6538A1A1" w14:textId="0ADE00AC" w:rsidR="00E14C15" w:rsidRPr="00C60367" w:rsidRDefault="00E14C15" w:rsidP="00E14C15">
            <w:pPr>
              <w:spacing w:after="120" w:line="285" w:lineRule="auto"/>
              <w:jc w:val="center"/>
              <w:rPr>
                <w:rFonts w:ascii="Times New Roman" w:eastAsia="Times New Roman" w:hAnsi="Times New Roman" w:cs="Times New Roman"/>
                <w:b/>
                <w:bCs/>
                <w:i/>
                <w:color w:val="0070C0"/>
                <w:kern w:val="28"/>
                <w:sz w:val="24"/>
                <w:szCs w:val="24"/>
                <w:lang w:eastAsia="en-US"/>
                <w14:ligatures w14:val="standard"/>
                <w14:cntxtAlts/>
              </w:rPr>
            </w:pPr>
            <w:r w:rsidRPr="00C60367">
              <w:rPr>
                <w:rFonts w:ascii="Times New Roman" w:eastAsia="Times New Roman" w:hAnsi="Times New Roman" w:cs="Times New Roman"/>
                <w:b/>
                <w:bCs/>
                <w:i/>
                <w:color w:val="0070C0"/>
                <w:kern w:val="28"/>
                <w:sz w:val="24"/>
                <w:szCs w:val="24"/>
                <w:lang w:eastAsia="en-US"/>
                <w14:ligatures w14:val="standard"/>
                <w14:cntxtAlts/>
              </w:rPr>
              <w:t>Abstract</w:t>
            </w:r>
          </w:p>
          <w:p w14:paraId="489D9AB1" w14:textId="7BBB29CF" w:rsidR="00E14C15" w:rsidRPr="00FF49E0" w:rsidRDefault="00D7421D" w:rsidP="004D5DD4">
            <w:pPr>
              <w:spacing w:after="120" w:line="240" w:lineRule="auto"/>
              <w:jc w:val="both"/>
              <w:rPr>
                <w:rFonts w:ascii="Times New Roman" w:eastAsia="Times New Roman" w:hAnsi="Times New Roman" w:cs="Times New Roman"/>
                <w:b/>
                <w:i/>
                <w:color w:val="000000"/>
                <w:kern w:val="28"/>
                <w:sz w:val="20"/>
                <w:szCs w:val="20"/>
                <w:lang w:eastAsia="en-US"/>
                <w14:ligatures w14:val="standard"/>
                <w14:cntxtAlts/>
              </w:rPr>
            </w:pPr>
            <w:r w:rsidRPr="00FF49E0">
              <w:rPr>
                <w:rFonts w:ascii="Times New Roman" w:eastAsia="Times New Roman" w:hAnsi="Times New Roman" w:cs="Times New Roman"/>
                <w:i/>
                <w:color w:val="000000"/>
                <w:kern w:val="28"/>
                <w:sz w:val="20"/>
                <w:szCs w:val="20"/>
                <w:lang w:eastAsia="en-US"/>
                <w14:ligatures w14:val="standard"/>
                <w14:cntxtAlts/>
              </w:rPr>
              <w:t xml:space="preserve">Drugs are a complicated problem from local to global levels. Policy strategies have also been implemented by the government in dealing with drug problems. The government's efforts through supply reduction and demand reduction policies do not appear to have provided optimal results in reducing the prevalence of drug abuse. There are still many drugs entering and circulating in Indonesia. The number of drug abuse is still high in remote rural areas. The government is increasingly improving drug abuse rehabilitation policies. One of the ways this policy is implemented is by increasing community involvement. By using the social capital possessed by the community, light level drug addicts and abusers can be reached to receive services. This article aims to analyze and develop policy implementation using a communal approach through the Community Based Intervention (IBM) program. Through the concept of collaborative governance, we see the government's efforts to integrate social capital in the </w:t>
            </w:r>
            <w:r w:rsidRPr="00FF49E0">
              <w:rPr>
                <w:rFonts w:ascii="Times New Roman" w:eastAsia="Times New Roman" w:hAnsi="Times New Roman" w:cs="Times New Roman"/>
                <w:i/>
                <w:color w:val="000000"/>
                <w:kern w:val="28"/>
                <w:sz w:val="20"/>
                <w:szCs w:val="20"/>
                <w:lang w:eastAsia="en-US"/>
                <w14:ligatures w14:val="standard"/>
                <w14:cntxtAlts/>
              </w:rPr>
              <w:lastRenderedPageBreak/>
              <w:t>community to be empowered in the rehabilitation process. Social capital is used as a basis for collaboration. The method used to dissect this concept uses qualitative and interviews with policy executors. The results of the analysis show that there is a division of responsibilities between the actors. Similarity of perception and goals is implemented at the level of joint activities in formal cooperation. This paper shows that community empowerment in public services within the framework of collaborative governance is an effective breakthrough. The government is no longer dominant, authority and responsibility are shared with community groups to manage public problems. It is necessary to expand the concept of collaborative governance to other public sectors. We also found weaknesses in the implementation of collaboration. Power relations in local government are a factor in obstructing the management of public services, even though they are sectoral and casuistic</w:t>
            </w:r>
            <w:r w:rsidR="00C60367" w:rsidRPr="00FF49E0">
              <w:rPr>
                <w:rFonts w:ascii="Times New Roman" w:eastAsia="Times New Roman" w:hAnsi="Times New Roman" w:cs="Times New Roman"/>
                <w:i/>
                <w:color w:val="000000"/>
                <w:kern w:val="28"/>
                <w:sz w:val="20"/>
                <w:szCs w:val="20"/>
                <w:lang w:eastAsia="en-US"/>
                <w14:ligatures w14:val="standard"/>
                <w14:cntxtAlts/>
              </w:rPr>
              <w:t>.</w:t>
            </w:r>
          </w:p>
          <w:p w14:paraId="13DC2E64" w14:textId="563FD7BE" w:rsidR="006A6C13" w:rsidRPr="00A30886" w:rsidRDefault="00E14C15" w:rsidP="00E14C15">
            <w:pPr>
              <w:spacing w:after="0" w:line="240" w:lineRule="auto"/>
              <w:ind w:left="34"/>
              <w:jc w:val="both"/>
              <w:rPr>
                <w:rFonts w:asciiTheme="majorBidi" w:hAnsiTheme="majorBidi" w:cstheme="majorBidi"/>
                <w:i/>
                <w:sz w:val="20"/>
                <w:szCs w:val="20"/>
              </w:rPr>
            </w:pPr>
            <w:r w:rsidRPr="00E14C15">
              <w:rPr>
                <w:rFonts w:ascii="Times New Roman" w:eastAsia="Times New Roman" w:hAnsi="Times New Roman" w:cs="Times New Roman"/>
                <w:b/>
                <w:i/>
                <w:color w:val="000000"/>
                <w:kern w:val="28"/>
                <w:sz w:val="20"/>
                <w:szCs w:val="20"/>
                <w:lang w:eastAsia="en-US"/>
                <w14:ligatures w14:val="standard"/>
                <w14:cntxtAlts/>
              </w:rPr>
              <w:t>Keywords</w:t>
            </w:r>
            <w:r w:rsidRPr="00E14C15">
              <w:rPr>
                <w:rFonts w:ascii="Times New Roman" w:eastAsia="Times New Roman" w:hAnsi="Times New Roman" w:cs="Times New Roman"/>
                <w:i/>
                <w:color w:val="000000"/>
                <w:kern w:val="28"/>
                <w:sz w:val="20"/>
                <w:szCs w:val="20"/>
                <w:lang w:eastAsia="en-US"/>
                <w14:ligatures w14:val="standard"/>
                <w14:cntxtAlts/>
              </w:rPr>
              <w:t xml:space="preserve">: </w:t>
            </w:r>
            <w:r w:rsidR="00297F1B">
              <w:rPr>
                <w:rFonts w:ascii="Times New Roman" w:eastAsia="Times New Roman" w:hAnsi="Times New Roman" w:cs="Times New Roman"/>
                <w:i/>
                <w:color w:val="000000"/>
                <w:kern w:val="28"/>
                <w:sz w:val="20"/>
                <w:szCs w:val="20"/>
                <w:lang w:eastAsia="en-US"/>
                <w14:ligatures w14:val="standard"/>
                <w14:cntxtAlts/>
              </w:rPr>
              <w:t>drugs, collaborative governance, empowering society, social capital</w:t>
            </w:r>
          </w:p>
        </w:tc>
      </w:tr>
    </w:tbl>
    <w:p w14:paraId="72EB9006" w14:textId="77777777" w:rsidR="00E14C15" w:rsidRDefault="00E14C15" w:rsidP="00F84A14">
      <w:pPr>
        <w:spacing w:after="0" w:line="240" w:lineRule="auto"/>
        <w:jc w:val="center"/>
        <w:rPr>
          <w:rFonts w:asciiTheme="majorBidi" w:eastAsia="Times New Roman" w:hAnsiTheme="majorBidi" w:cstheme="majorBidi"/>
          <w:b/>
          <w:color w:val="0070C0"/>
          <w:sz w:val="24"/>
          <w:szCs w:val="24"/>
        </w:rPr>
      </w:pPr>
    </w:p>
    <w:p w14:paraId="0CB1598C" w14:textId="3FA84C73" w:rsidR="00054BF1" w:rsidRPr="00072BFA" w:rsidRDefault="004E495E" w:rsidP="00F84A14">
      <w:pPr>
        <w:spacing w:after="0" w:line="240" w:lineRule="auto"/>
        <w:jc w:val="center"/>
        <w:rPr>
          <w:rFonts w:asciiTheme="majorBidi" w:eastAsia="Times New Roman" w:hAnsiTheme="majorBidi" w:cstheme="majorBidi"/>
          <w:b/>
          <w:color w:val="0070C0"/>
          <w:sz w:val="24"/>
          <w:szCs w:val="24"/>
        </w:rPr>
      </w:pPr>
      <w:r w:rsidRPr="00072BFA">
        <w:rPr>
          <w:rFonts w:asciiTheme="majorBidi" w:eastAsia="Times New Roman" w:hAnsiTheme="majorBidi" w:cstheme="majorBidi"/>
          <w:b/>
          <w:color w:val="0070C0"/>
          <w:sz w:val="24"/>
          <w:szCs w:val="24"/>
        </w:rPr>
        <w:t>PENDAHULUAN</w:t>
      </w:r>
    </w:p>
    <w:p w14:paraId="0AC5030A" w14:textId="77777777" w:rsidR="00054BF1" w:rsidRPr="00674CFD" w:rsidRDefault="00054BF1" w:rsidP="00F84A14">
      <w:pPr>
        <w:spacing w:after="0" w:line="240" w:lineRule="auto"/>
        <w:ind w:firstLine="567"/>
        <w:jc w:val="both"/>
        <w:rPr>
          <w:rFonts w:asciiTheme="majorBidi" w:eastAsia="Times New Roman" w:hAnsiTheme="majorBidi" w:cstheme="majorBidi"/>
          <w:b/>
          <w:sz w:val="20"/>
          <w:szCs w:val="20"/>
        </w:rPr>
      </w:pPr>
    </w:p>
    <w:p w14:paraId="6D4187EC" w14:textId="060847D2" w:rsidR="00C60367" w:rsidRDefault="00C60367" w:rsidP="004D5DD4">
      <w:pPr>
        <w:autoSpaceDE w:val="0"/>
        <w:autoSpaceDN w:val="0"/>
        <w:adjustRightInd w:val="0"/>
        <w:spacing w:after="0" w:line="240" w:lineRule="auto"/>
        <w:ind w:firstLine="708"/>
        <w:jc w:val="both"/>
        <w:rPr>
          <w:rFonts w:ascii="Times New Roman" w:hAnsi="Times New Roman" w:cs="Times New Roman"/>
          <w:color w:val="000000" w:themeColor="text1"/>
          <w:lang w:val="id-ID"/>
        </w:rPr>
      </w:pPr>
      <w:r w:rsidRPr="00B4645F">
        <w:rPr>
          <w:rFonts w:ascii="Times New Roman" w:hAnsi="Times New Roman" w:cs="Times New Roman"/>
          <w:color w:val="000000" w:themeColor="text1"/>
          <w:lang w:val="id-ID"/>
        </w:rPr>
        <w:t xml:space="preserve">Permasalahan narkoba telah menjadi isu global di banyak negara di dunia. Kepala BNN RI dalam orasi ilmiah pada pengukuhan guru besar tetap memberikan </w:t>
      </w:r>
      <w:r w:rsidRPr="00297F1B">
        <w:rPr>
          <w:rFonts w:ascii="Times New Roman" w:hAnsi="Times New Roman" w:cs="Times New Roman"/>
          <w:i/>
          <w:iCs/>
          <w:color w:val="000000" w:themeColor="text1"/>
          <w:lang w:val="id-ID"/>
        </w:rPr>
        <w:t>statement</w:t>
      </w:r>
      <w:r w:rsidRPr="00B4645F">
        <w:rPr>
          <w:rFonts w:ascii="Times New Roman" w:hAnsi="Times New Roman" w:cs="Times New Roman"/>
          <w:color w:val="000000" w:themeColor="text1"/>
          <w:lang w:val="id-ID"/>
        </w:rPr>
        <w:t xml:space="preserve"> bahwa kejahatan narkoba bersifat </w:t>
      </w:r>
      <w:r w:rsidRPr="00297F1B">
        <w:rPr>
          <w:rFonts w:ascii="Times New Roman" w:hAnsi="Times New Roman" w:cs="Times New Roman"/>
          <w:i/>
          <w:iCs/>
          <w:color w:val="000000" w:themeColor="text1"/>
          <w:lang w:val="id-ID"/>
        </w:rPr>
        <w:t>transnational organized crime</w:t>
      </w:r>
      <w:r w:rsidRPr="00B4645F">
        <w:rPr>
          <w:rFonts w:ascii="Times New Roman" w:hAnsi="Times New Roman" w:cs="Times New Roman"/>
          <w:color w:val="000000" w:themeColor="text1"/>
          <w:lang w:val="id-ID"/>
        </w:rPr>
        <w:t xml:space="preserve"> yang menimbulkan kekhawatiran besar di seluruh dunia. </w:t>
      </w:r>
      <w:r w:rsidRPr="0051452E">
        <w:rPr>
          <w:rFonts w:ascii="Times New Roman" w:hAnsi="Times New Roman" w:cs="Times New Roman"/>
          <w:i/>
          <w:iCs/>
          <w:color w:val="000000" w:themeColor="text1"/>
          <w:lang w:val="id-ID"/>
        </w:rPr>
        <w:t>United Nations Office on Drugs and Crime</w:t>
      </w:r>
      <w:r w:rsidRPr="00B4645F">
        <w:rPr>
          <w:rFonts w:ascii="Times New Roman" w:hAnsi="Times New Roman" w:cs="Times New Roman"/>
          <w:color w:val="000000" w:themeColor="text1"/>
          <w:lang w:val="id-ID"/>
        </w:rPr>
        <w:t xml:space="preserve"> (UNODC) melaporkan bahwa jumlah pengguna narkoba yang sudah dalam tahap kecanduan meningkat sebesar 13% atau sekitar 35 juta jiwa. Dari angka tersebut hanya 1 dari 7 orang pengguna narkoba yang mendapatkan akses layanan rehabilitasi setiap tahunnya (UNODC, 2019)</w:t>
      </w:r>
      <w:r w:rsidRPr="001B76ED">
        <w:rPr>
          <w:rFonts w:ascii="Times New Roman" w:hAnsi="Times New Roman" w:cs="Times New Roman"/>
          <w:color w:val="000000" w:themeColor="text1"/>
          <w:lang w:val="id-ID"/>
        </w:rPr>
        <w:t>.</w:t>
      </w:r>
    </w:p>
    <w:p w14:paraId="29246EA4" w14:textId="580C58A9" w:rsidR="00C60367" w:rsidRDefault="00C60367" w:rsidP="00E14C15">
      <w:pPr>
        <w:autoSpaceDE w:val="0"/>
        <w:autoSpaceDN w:val="0"/>
        <w:adjustRightInd w:val="0"/>
        <w:spacing w:after="0" w:line="240" w:lineRule="auto"/>
        <w:ind w:firstLine="708"/>
        <w:jc w:val="both"/>
        <w:rPr>
          <w:rFonts w:ascii="Times New Roman" w:hAnsi="Times New Roman" w:cs="Times New Roman"/>
          <w:color w:val="000000" w:themeColor="text1"/>
          <w:lang w:val="id-ID"/>
        </w:rPr>
      </w:pPr>
      <w:r w:rsidRPr="00B4645F">
        <w:rPr>
          <w:rFonts w:ascii="Times New Roman" w:hAnsi="Times New Roman" w:cs="Times New Roman"/>
          <w:color w:val="000000" w:themeColor="text1"/>
          <w:lang w:val="id-ID"/>
        </w:rPr>
        <w:t xml:space="preserve">Berdasarkan hasil survey nasional penyalahgunaan narkoba Badan Narkotika Nasional, angka prevalensi penyalahgunaan narkoba tahun 2021 menunjukkan tren peningkatan. Angka prevalensi penyalahgunaan narkoba mencapai 1,95% atau sekitar 3.662.646 jiwa dari jumlah penduduk usia produktif di Indonesia pada rentang tahun 15-64 tahun atau sekitar 187.513.456 jiwa. Angka prevalensi tersebut meningkat sebanyak 0,15% dari angka prevalensi tahun 2019 yang sebesar 1,80%. Secara umum peningkatan angka prevalensi tersebut terjadi di kawasan perkotaan dan  berbanding terbalik dengan perdesaan yang mengalami penurunan </w:t>
      </w:r>
      <w:r w:rsidRPr="00B4645F">
        <w:rPr>
          <w:rFonts w:ascii="Times New Roman" w:hAnsi="Times New Roman" w:cs="Times New Roman"/>
          <w:color w:val="000000" w:themeColor="text1"/>
          <w:lang w:val="id-ID"/>
        </w:rPr>
        <w:fldChar w:fldCharType="begin" w:fldLock="1"/>
      </w:r>
      <w:r w:rsidRPr="00B4645F">
        <w:rPr>
          <w:rFonts w:ascii="Times New Roman" w:hAnsi="Times New Roman" w:cs="Times New Roman"/>
          <w:color w:val="000000" w:themeColor="text1"/>
          <w:lang w:val="id-ID"/>
        </w:rPr>
        <w:instrText>ADDIN CSL_CITATION {"citationItems":[{"id":"ITEM-1","itemData":{"id":"ITEM-1","issued":{"date-parts":[["0"]]},"title":"IDR-2022.pdf","type":"article"},"uris":["http://www.mendeley.com/documents/?uuid=e18718d4-375f-4d0b-abdf-bd9ebf252f3e"]}],"mendeley":{"formattedCitation":"(&lt;i&gt;IDR-2022.Pdf&lt;/i&gt;, n.d.)","plainTextFormattedCitation":"(IDR-2022.Pdf, n.d.)","previouslyFormattedCitation":"(&lt;i&gt;IDR-2022.Pdf&lt;/i&gt;, n.d.)"},"properties":{"noteIndex":0},"schema":"https://github.com/citation-style-language/schema/raw/master/csl-citation.json"}</w:instrText>
      </w:r>
      <w:r w:rsidRPr="00B4645F">
        <w:rPr>
          <w:rFonts w:ascii="Times New Roman" w:hAnsi="Times New Roman" w:cs="Times New Roman"/>
          <w:color w:val="000000" w:themeColor="text1"/>
          <w:lang w:val="id-ID"/>
        </w:rPr>
        <w:fldChar w:fldCharType="separate"/>
      </w:r>
      <w:r w:rsidRPr="00B4645F">
        <w:rPr>
          <w:rFonts w:ascii="Times New Roman" w:hAnsi="Times New Roman" w:cs="Times New Roman"/>
          <w:noProof/>
          <w:color w:val="000000" w:themeColor="text1"/>
          <w:lang w:val="id-ID"/>
        </w:rPr>
        <w:t>(</w:t>
      </w:r>
      <w:r w:rsidRPr="00B4645F">
        <w:rPr>
          <w:rFonts w:ascii="Times New Roman" w:hAnsi="Times New Roman" w:cs="Times New Roman"/>
          <w:i/>
          <w:noProof/>
          <w:color w:val="000000" w:themeColor="text1"/>
          <w:lang w:val="id-ID"/>
        </w:rPr>
        <w:t>IDR-2022.Pdf</w:t>
      </w:r>
      <w:r w:rsidRPr="00B4645F">
        <w:rPr>
          <w:rFonts w:ascii="Times New Roman" w:hAnsi="Times New Roman" w:cs="Times New Roman"/>
          <w:noProof/>
          <w:color w:val="000000" w:themeColor="text1"/>
          <w:lang w:val="id-ID"/>
        </w:rPr>
        <w:t>, n.d.)</w:t>
      </w:r>
      <w:r w:rsidRPr="00B4645F">
        <w:rPr>
          <w:rFonts w:ascii="Times New Roman" w:hAnsi="Times New Roman" w:cs="Times New Roman"/>
          <w:color w:val="000000" w:themeColor="text1"/>
          <w:lang w:val="id-ID"/>
        </w:rPr>
        <w:fldChar w:fldCharType="end"/>
      </w:r>
      <w:r w:rsidRPr="001B76ED">
        <w:rPr>
          <w:rFonts w:ascii="Times New Roman" w:hAnsi="Times New Roman" w:cs="Times New Roman"/>
          <w:color w:val="000000" w:themeColor="text1"/>
          <w:lang w:val="id-ID"/>
        </w:rPr>
        <w:t>.</w:t>
      </w:r>
    </w:p>
    <w:p w14:paraId="7DCD5E95" w14:textId="27D36D26" w:rsidR="00C60367" w:rsidRDefault="00C60367" w:rsidP="00E14C15">
      <w:pPr>
        <w:autoSpaceDE w:val="0"/>
        <w:autoSpaceDN w:val="0"/>
        <w:adjustRightInd w:val="0"/>
        <w:spacing w:after="0" w:line="240" w:lineRule="auto"/>
        <w:ind w:firstLine="708"/>
        <w:jc w:val="both"/>
        <w:rPr>
          <w:rFonts w:ascii="Times New Roman" w:hAnsi="Times New Roman" w:cs="Times New Roman"/>
          <w:color w:val="000000" w:themeColor="text1"/>
          <w:lang w:val="id-ID"/>
        </w:rPr>
      </w:pPr>
      <w:r w:rsidRPr="00B4645F">
        <w:rPr>
          <w:rFonts w:ascii="Times New Roman" w:hAnsi="Times New Roman" w:cs="Times New Roman"/>
          <w:color w:val="000000" w:themeColor="text1"/>
          <w:lang w:val="id-ID"/>
        </w:rPr>
        <w:t xml:space="preserve">Dalam upaya untuk menekan jumlah peredaran gelap narkoba di Indonesia, BNN telah menerapkan kebijakan </w:t>
      </w:r>
      <w:r w:rsidRPr="009310AF">
        <w:rPr>
          <w:rFonts w:ascii="Times New Roman" w:hAnsi="Times New Roman" w:cs="Times New Roman"/>
          <w:i/>
          <w:iCs/>
          <w:color w:val="000000" w:themeColor="text1"/>
          <w:lang w:val="id-ID"/>
        </w:rPr>
        <w:t>hard power approach</w:t>
      </w:r>
      <w:r w:rsidRPr="00B4645F">
        <w:rPr>
          <w:rFonts w:ascii="Times New Roman" w:hAnsi="Times New Roman" w:cs="Times New Roman"/>
          <w:color w:val="000000" w:themeColor="text1"/>
          <w:lang w:val="id-ID"/>
        </w:rPr>
        <w:t xml:space="preserve">. Penegakan hukum yang keras dan tegas telah berhasil mengungkap jaringan pengedar baik dari dalam negeri maupun internasional. Kerja sama dengan para penegak hukum dan instansi terkait telah massif dilakukan. Jumlah ungkap kasus perkara narkoba sepanjang tahun 2022 mencapai 39.709 perkara (Pusiknas Polri, 2022). Namun upaya penegakan hukum yang keras ini berdampak pada meningkatnya jumlah tahanan dan narapidana narkoba. Berdasarkan Informasi Data Pemasyarakatan Direktorat Jenderal Pemasyarakatan Kementerian Hukum dan Hak Asasi Manusia tahun 2019 mencatat  jumlah tahanan pidana khusus narkoba sebanyak 133.578 dari total penghuni pidana khusus sebesar 140.953. Dari angka tersebut dapat disimpulkan sebanyak 94,8% adalah penghuni kasus narkoba </w:t>
      </w:r>
      <w:r w:rsidR="009F2138">
        <w:rPr>
          <w:rFonts w:ascii="Times New Roman" w:hAnsi="Times New Roman" w:cs="Times New Roman"/>
          <w:color w:val="000000" w:themeColor="text1"/>
          <w:lang w:val="id-ID"/>
        </w:rPr>
        <w:fldChar w:fldCharType="begin" w:fldLock="1"/>
      </w:r>
      <w:r w:rsidR="009F2138">
        <w:rPr>
          <w:rFonts w:ascii="Times New Roman" w:hAnsi="Times New Roman" w:cs="Times New Roman"/>
          <w:color w:val="000000" w:themeColor="text1"/>
          <w:lang w:val="id-ID"/>
        </w:rPr>
        <w:instrText>ADDIN CSL_CITATION {"citationItems":[{"id":"ITEM-1","itemData":{"URL":"https://sdppublik.ditjenpas.go.id/analisa/laporan-penghuni-khusus-2019","author":[{"dropping-particle":"","family":"Pemasyarakatan","given":"Direktorat Jenderal","non-dropping-particle":"","parse-names":false,"suffix":""}],"id":"ITEM-1","issued":{"date-parts":[["2023"]]},"title":"Laporan Jumlah Penghuni Khusus","type":"webpage"},"uris":["http://www.mendeley.com/documents/?uuid=703b9d78-9cd4-445d-93ab-48a2575896a3"]}],"mendeley":{"formattedCitation":"(Pemasyarakatan, 2023)","plainTextFormattedCitation":"(Pemasyarakatan, 2023)"},"properties":{"noteIndex":0},"schema":"https://github.com/citation-style-language/schema/raw/master/csl-citation.json"}</w:instrText>
      </w:r>
      <w:r w:rsidR="009F2138">
        <w:rPr>
          <w:rFonts w:ascii="Times New Roman" w:hAnsi="Times New Roman" w:cs="Times New Roman"/>
          <w:color w:val="000000" w:themeColor="text1"/>
          <w:lang w:val="id-ID"/>
        </w:rPr>
        <w:fldChar w:fldCharType="separate"/>
      </w:r>
      <w:r w:rsidR="009F2138" w:rsidRPr="009F2138">
        <w:rPr>
          <w:rFonts w:ascii="Times New Roman" w:hAnsi="Times New Roman" w:cs="Times New Roman"/>
          <w:noProof/>
          <w:color w:val="000000" w:themeColor="text1"/>
          <w:lang w:val="id-ID"/>
        </w:rPr>
        <w:t>(Pemasyarakatan, 2023)</w:t>
      </w:r>
      <w:r w:rsidR="009F2138">
        <w:rPr>
          <w:rFonts w:ascii="Times New Roman" w:hAnsi="Times New Roman" w:cs="Times New Roman"/>
          <w:color w:val="000000" w:themeColor="text1"/>
          <w:lang w:val="id-ID"/>
        </w:rPr>
        <w:fldChar w:fldCharType="end"/>
      </w:r>
      <w:r w:rsidR="009F2138" w:rsidRPr="00FF49E0">
        <w:rPr>
          <w:rFonts w:ascii="Times New Roman" w:hAnsi="Times New Roman" w:cs="Times New Roman"/>
          <w:color w:val="000000" w:themeColor="text1"/>
          <w:lang w:val="id-ID"/>
        </w:rPr>
        <w:t>.</w:t>
      </w:r>
      <w:r w:rsidR="009F2138">
        <w:rPr>
          <w:rFonts w:ascii="Times New Roman" w:hAnsi="Times New Roman" w:cs="Times New Roman"/>
          <w:color w:val="000000" w:themeColor="text1"/>
          <w:lang w:val="id-ID"/>
        </w:rPr>
        <w:t xml:space="preserve"> </w:t>
      </w:r>
    </w:p>
    <w:p w14:paraId="66E1B28C" w14:textId="7B8B93E6" w:rsidR="00C60367" w:rsidRDefault="00C60367" w:rsidP="00E14C15">
      <w:pPr>
        <w:autoSpaceDE w:val="0"/>
        <w:autoSpaceDN w:val="0"/>
        <w:adjustRightInd w:val="0"/>
        <w:spacing w:after="0" w:line="240" w:lineRule="auto"/>
        <w:ind w:firstLine="708"/>
        <w:jc w:val="both"/>
        <w:rPr>
          <w:rFonts w:ascii="Times New Roman" w:hAnsi="Times New Roman" w:cs="Times New Roman"/>
          <w:color w:val="000000" w:themeColor="text1"/>
          <w:lang w:val="id-ID"/>
        </w:rPr>
      </w:pPr>
      <w:r w:rsidRPr="00B4645F">
        <w:rPr>
          <w:rFonts w:ascii="Times New Roman" w:hAnsi="Times New Roman" w:cs="Times New Roman"/>
          <w:color w:val="000000" w:themeColor="text1"/>
          <w:lang w:val="id-ID"/>
        </w:rPr>
        <w:t xml:space="preserve">Tindakan represif tidak bisa mengurangi penyalahgunaan narkoba. Pemerintah mengadopsi pendekatan UNODC yaitu dekriminalisasi </w:t>
      </w:r>
      <w:r w:rsidRPr="00B4645F">
        <w:rPr>
          <w:rFonts w:ascii="Times New Roman" w:hAnsi="Times New Roman" w:cs="Times New Roman"/>
          <w:color w:val="000000" w:themeColor="text1"/>
          <w:vertAlign w:val="superscript"/>
          <w:lang w:val="id-ID"/>
        </w:rPr>
        <w:fldChar w:fldCharType="begin" w:fldLock="1"/>
      </w:r>
      <w:r w:rsidRPr="00B4645F">
        <w:rPr>
          <w:rFonts w:ascii="Times New Roman" w:hAnsi="Times New Roman" w:cs="Times New Roman"/>
          <w:color w:val="000000" w:themeColor="text1"/>
          <w:lang w:val="id-ID"/>
        </w:rPr>
        <w:instrText>ADDIN CSL_CITATION {"citationItems":[{"id":"ITEM-1","itemData":{"DOI":"10.33007/inf.v2i3.339","ISSN":"24428094","abstract":"Fenomena penyalahgunaan narkotika tidak mengenal batas usia, pendidikan, pekerjaan, dan dimana mereka tinggal. Penyalahgunaan narkotika tidak hanya berdampak pada kesehatan manusia, tetapi telah merugikan ekonomi keluarga, masyarakat bahkan perekonomian suatu negara. Pendekatan hukum (pidana) bagi pecandu dan korban selama ini belum mampu menekan laju peningkatan jumlah korban narkotika, bahkan pemenjaraan telah telah berdampak buruk pada perekonomian keluarga, kesehatan (penularan penyakit) yang justru meningkatkan angka kemiskinan. Kondisi ini telah dijadikan sebagai dasar bahwa pecandu perlu didekati sebagai korban yang membutuhkan pertolongan. Naskah ini mencoba mengurai bagaimana kebijakan dekriminalisasi bagi pecandu di Indonesia dan Kebijakan rehabilitasi bagi pecandu, dan Implikasi Kebijakan Penanganan Pecandu Narkotika. Dari aspek hukum di Indonesia, dekriminalisasi dan depenalisasi serta pendekatan kesehatan sudah ada sejak dekade 1990-an. Namun komitmen dekriminalisasi baru memperoleh perhatian besar negara sejak awal dekade 2010 terutama sejak terbitnya Undang Undang No 35 tahun 2009 dan Peraturan Pemerintah Nomor 25 tahun 2011 tentang Pelaksanaan Wajib Lapor Pecandu Narkotika. Dalam kerangka implementasi kebijakan dekriminalisasi masih dihadapkan pada keterbatasan infrastruktur, SDM pelayanan dan stigma masyarakat terhadap pecandu. Stigmatisasi merupakan salah satu faktor yang berpengaruh besar dalam penyelenggaraan kebijakan penanganan pecandu pencapaian keberhasilan pemulihannya. Oleh karena itu masyarakat sebagai salah satu pemangku (stake holder) perlu dilibatkan dalam proses pemulihan, sehingga untuk Optimalisasi peran dimaksud diperlukan pemetaan tentang kapasitas lembaga yang ada di masyarakat.","author":[{"dropping-particle":"","family":"Gunawan","given":"Gunawan","non-dropping-particle":"","parse-names":false,"suffix":""}],"container-title":"Sosio Informa","id":"ITEM-1","issue":"3","issued":{"date-parts":[["2016"]]},"page":"239-258","title":"Dekriminalisasi Pecandu Narkotika: Pergeseran Pendekatan Dan Implikasi Kebijakan Penanganan Pecandu Narkotika Di Indonesia","type":"article-journal","volume":"2"},"uris":["http://www.mendeley.com/documents/?uuid=a01477e5-3009-4e8c-922f-ccc765ee99f1"]}],"mendeley":{"formattedCitation":"(Gunawan, 2016)","plainTextFormattedCitation":"(Gunawan, 2016)","previouslyFormattedCitation":"(Gunawan, 2016)"},"properties":{"noteIndex":0},"schema":"https://github.com/citation-style-language/schema/raw/master/csl-citation.json"}</w:instrText>
      </w:r>
      <w:r w:rsidRPr="00B4645F">
        <w:rPr>
          <w:rFonts w:ascii="Times New Roman" w:hAnsi="Times New Roman" w:cs="Times New Roman"/>
          <w:color w:val="000000" w:themeColor="text1"/>
          <w:vertAlign w:val="superscript"/>
          <w:lang w:val="id-ID"/>
        </w:rPr>
        <w:fldChar w:fldCharType="separate"/>
      </w:r>
      <w:r w:rsidRPr="00B4645F">
        <w:rPr>
          <w:rFonts w:ascii="Times New Roman" w:hAnsi="Times New Roman" w:cs="Times New Roman"/>
          <w:bCs/>
          <w:noProof/>
          <w:color w:val="000000" w:themeColor="text1"/>
          <w:lang w:val="id-ID"/>
        </w:rPr>
        <w:t>(Gunawan, 2016)</w:t>
      </w:r>
      <w:r w:rsidRPr="00B4645F">
        <w:rPr>
          <w:rFonts w:ascii="Times New Roman" w:hAnsi="Times New Roman" w:cs="Times New Roman"/>
          <w:color w:val="000000" w:themeColor="text1"/>
          <w:lang w:val="id-ID"/>
        </w:rPr>
        <w:fldChar w:fldCharType="end"/>
      </w:r>
      <w:r w:rsidRPr="00B4645F">
        <w:rPr>
          <w:rFonts w:ascii="Times New Roman" w:hAnsi="Times New Roman" w:cs="Times New Roman"/>
          <w:color w:val="000000" w:themeColor="text1"/>
          <w:lang w:val="id-ID"/>
        </w:rPr>
        <w:t xml:space="preserve">. Konsep ini diterjemahkan dengan kebijakan </w:t>
      </w:r>
      <w:r w:rsidRPr="009310AF">
        <w:rPr>
          <w:rFonts w:ascii="Times New Roman" w:hAnsi="Times New Roman" w:cs="Times New Roman"/>
          <w:i/>
          <w:iCs/>
          <w:color w:val="000000" w:themeColor="text1"/>
          <w:lang w:val="id-ID"/>
        </w:rPr>
        <w:t>soft power approach</w:t>
      </w:r>
      <w:r w:rsidRPr="00B4645F">
        <w:rPr>
          <w:rFonts w:ascii="Times New Roman" w:hAnsi="Times New Roman" w:cs="Times New Roman"/>
          <w:color w:val="000000" w:themeColor="text1"/>
          <w:lang w:val="id-ID"/>
        </w:rPr>
        <w:t xml:space="preserve"> melalui rehabilitasi bagi pecandu dan penyalahguna narkoba. Kebijakan rehabilitasi bagi penyalahguna narkoba seiring perkembangannya mengalami perubahan. Paradigma kebijakan rehabilitasi terkini berorientasi komunal dan menggunakan modal sosial dan pemberdayaan masyarakat. Sebuah komunitas masyarakat yang hidup bersama memiliki seperangkat norma atau aturan, serta nilai-nilai budaya yang mengikat setiap elemen masyarakat </w:t>
      </w:r>
      <w:r w:rsidRPr="00B4645F">
        <w:rPr>
          <w:rFonts w:ascii="Times New Roman" w:hAnsi="Times New Roman" w:cs="Times New Roman"/>
          <w:color w:val="000000" w:themeColor="text1"/>
          <w:vertAlign w:val="superscript"/>
          <w:lang w:val="id-ID"/>
        </w:rPr>
        <w:fldChar w:fldCharType="begin" w:fldLock="1"/>
      </w:r>
      <w:r w:rsidRPr="00B4645F">
        <w:rPr>
          <w:rFonts w:ascii="Times New Roman" w:hAnsi="Times New Roman" w:cs="Times New Roman"/>
          <w:color w:val="000000" w:themeColor="text1"/>
          <w:lang w:val="id-ID"/>
        </w:rPr>
        <w:instrText>ADDIN CSL_CITATION {"citationItems":[{"id":"ITEM-1","itemData":{"ISBN":"1439107475","author":[{"dropping-particle":"","family":"Fukuyama","given":"Francis","non-dropping-particle":"","parse-names":false,"suffix":""}],"id":"ITEM-1","issued":{"date-parts":[["1996"]]},"publisher":"Simon and Schuster","title":"Trust: The social virtues and the creation of prosperity","type":"book"},"uris":["http://www.mendeley.com/documents/?uuid=754c95e5-d289-410b-86a9-c738fc123a5f"]}],"mendeley":{"formattedCitation":"(Fukuyama, 1996)","plainTextFormattedCitation":"(Fukuyama, 1996)","previouslyFormattedCitation":"(Fukuyama, 1996)"},"properties":{"noteIndex":0},"schema":"https://github.com/citation-style-language/schema/raw/master/csl-citation.json"}</w:instrText>
      </w:r>
      <w:r w:rsidRPr="00B4645F">
        <w:rPr>
          <w:rFonts w:ascii="Times New Roman" w:hAnsi="Times New Roman" w:cs="Times New Roman"/>
          <w:color w:val="000000" w:themeColor="text1"/>
          <w:vertAlign w:val="superscript"/>
          <w:lang w:val="id-ID"/>
        </w:rPr>
        <w:fldChar w:fldCharType="separate"/>
      </w:r>
      <w:r w:rsidRPr="00B4645F">
        <w:rPr>
          <w:rFonts w:ascii="Times New Roman" w:hAnsi="Times New Roman" w:cs="Times New Roman"/>
          <w:noProof/>
          <w:color w:val="000000" w:themeColor="text1"/>
          <w:lang w:val="id-ID"/>
        </w:rPr>
        <w:t xml:space="preserve">(Fukuyama, </w:t>
      </w:r>
      <w:r w:rsidRPr="00B4645F">
        <w:rPr>
          <w:rFonts w:ascii="Times New Roman" w:hAnsi="Times New Roman" w:cs="Times New Roman"/>
          <w:noProof/>
          <w:color w:val="000000" w:themeColor="text1"/>
          <w:lang w:val="id-ID"/>
        </w:rPr>
        <w:lastRenderedPageBreak/>
        <w:t>1996)</w:t>
      </w:r>
      <w:r w:rsidRPr="00B4645F">
        <w:rPr>
          <w:rFonts w:ascii="Times New Roman" w:hAnsi="Times New Roman" w:cs="Times New Roman"/>
          <w:color w:val="000000" w:themeColor="text1"/>
          <w:lang w:val="id-ID"/>
        </w:rPr>
        <w:fldChar w:fldCharType="end"/>
      </w:r>
      <w:r w:rsidRPr="00B4645F">
        <w:rPr>
          <w:rFonts w:ascii="Times New Roman" w:hAnsi="Times New Roman" w:cs="Times New Roman"/>
          <w:color w:val="000000" w:themeColor="text1"/>
          <w:lang w:val="id-ID"/>
        </w:rPr>
        <w:t>. Mereka juga mempunyai paguyuban maupun institusi lokal yang mewadahi kegiatan masyarakat</w:t>
      </w:r>
      <w:r w:rsidRPr="001B76ED">
        <w:rPr>
          <w:rFonts w:ascii="Times New Roman" w:hAnsi="Times New Roman" w:cs="Times New Roman"/>
          <w:color w:val="000000" w:themeColor="text1"/>
          <w:lang w:val="id-ID"/>
        </w:rPr>
        <w:t>.</w:t>
      </w:r>
    </w:p>
    <w:p w14:paraId="6F7C76E8" w14:textId="14EA9D51" w:rsidR="00C60367" w:rsidRDefault="00C60367" w:rsidP="00E14C15">
      <w:pPr>
        <w:autoSpaceDE w:val="0"/>
        <w:autoSpaceDN w:val="0"/>
        <w:adjustRightInd w:val="0"/>
        <w:spacing w:after="0" w:line="240" w:lineRule="auto"/>
        <w:ind w:firstLine="708"/>
        <w:jc w:val="both"/>
        <w:rPr>
          <w:rFonts w:ascii="Times New Roman" w:hAnsi="Times New Roman" w:cs="Times New Roman"/>
          <w:color w:val="000000" w:themeColor="text1"/>
          <w:lang w:val="id-ID"/>
        </w:rPr>
      </w:pPr>
      <w:r w:rsidRPr="00B4645F">
        <w:rPr>
          <w:rFonts w:ascii="Times New Roman" w:hAnsi="Times New Roman" w:cs="Times New Roman"/>
          <w:color w:val="000000" w:themeColor="text1"/>
          <w:lang w:val="id-ID"/>
        </w:rPr>
        <w:t xml:space="preserve">Pelaksanaan teknis kebijakan rehabilitasi, mendasarkan pada Piramida Layanan Kesehatan Jiwa WHO. Dimana layanan informal dalam bentuk perawatan diri serta perawatan komunitas dapat diberikan kepada penyalahguna kategori coba pakai. Pengguna narkoba kategori ringan dapat mengikuti pelayanan rawat jalan. Pelayanan ini membuka kesempatan masyarakat untuk berpartisipasi memberikan pelayanan kepada pengguna narkoba dalam program IBM </w:t>
      </w:r>
      <w:r w:rsidRPr="00B4645F">
        <w:rPr>
          <w:rFonts w:ascii="Times New Roman" w:hAnsi="Times New Roman" w:cs="Times New Roman"/>
          <w:color w:val="000000" w:themeColor="text1"/>
          <w:vertAlign w:val="superscript"/>
          <w:lang w:val="id-ID"/>
        </w:rPr>
        <w:fldChar w:fldCharType="begin" w:fldLock="1"/>
      </w:r>
      <w:r w:rsidRPr="00B4645F">
        <w:rPr>
          <w:rFonts w:ascii="Times New Roman" w:hAnsi="Times New Roman" w:cs="Times New Roman"/>
          <w:color w:val="000000" w:themeColor="text1"/>
          <w:lang w:val="id-ID"/>
        </w:rPr>
        <w:instrText>ADDIN CSL_CITATION {"citationItems":[{"id":"ITEM-1","itemData":{"author":[{"dropping-particle":"","family":"BNN","given":"","non-dropping-particle":"","parse-names":false,"suffix":""}],"id":"ITEM-1","issued":{"date-parts":[["2021"]]},"title":"Pedoman Pelaksanaan Intervensi Berbasis Masyarakat. Deputi Rehabilitasi","type":"article-journal"},"uris":["http://www.mendeley.com/documents/?uuid=9e493833-b4a9-4823-9875-2e1428e58883"]}],"mendeley":{"formattedCitation":"(BNN, 2021)","plainTextFormattedCitation":"(BNN, 2021)","previouslyFormattedCitation":"(BNN, 2021)"},"properties":{"noteIndex":0},"schema":"https://github.com/citation-style-language/schema/raw/master/csl-citation.json"}</w:instrText>
      </w:r>
      <w:r w:rsidRPr="00B4645F">
        <w:rPr>
          <w:rFonts w:ascii="Times New Roman" w:hAnsi="Times New Roman" w:cs="Times New Roman"/>
          <w:color w:val="000000" w:themeColor="text1"/>
          <w:vertAlign w:val="superscript"/>
          <w:lang w:val="id-ID"/>
        </w:rPr>
        <w:fldChar w:fldCharType="separate"/>
      </w:r>
      <w:r w:rsidRPr="00B4645F">
        <w:rPr>
          <w:rFonts w:ascii="Times New Roman" w:hAnsi="Times New Roman" w:cs="Times New Roman"/>
          <w:noProof/>
          <w:color w:val="000000" w:themeColor="text1"/>
          <w:lang w:val="id-ID"/>
        </w:rPr>
        <w:t>(BNN, 2021)</w:t>
      </w:r>
      <w:r w:rsidRPr="00B4645F">
        <w:rPr>
          <w:rFonts w:ascii="Times New Roman" w:hAnsi="Times New Roman" w:cs="Times New Roman"/>
          <w:color w:val="000000" w:themeColor="text1"/>
          <w:lang w:val="id-ID"/>
        </w:rPr>
        <w:fldChar w:fldCharType="end"/>
      </w:r>
      <w:r w:rsidRPr="00B4645F">
        <w:rPr>
          <w:rFonts w:ascii="Times New Roman" w:hAnsi="Times New Roman" w:cs="Times New Roman"/>
          <w:color w:val="000000" w:themeColor="text1"/>
          <w:lang w:val="id-ID"/>
        </w:rPr>
        <w:t>. Program rehabilitasi yang dirancang dari, untuk, dan oleh masyarakat melalui agen pemulihan dengan memanfaatkan kearifan lokal.</w:t>
      </w:r>
    </w:p>
    <w:p w14:paraId="4612002C" w14:textId="278BE6D9" w:rsidR="00C60367" w:rsidRDefault="00C60367" w:rsidP="00E14C15">
      <w:pPr>
        <w:autoSpaceDE w:val="0"/>
        <w:autoSpaceDN w:val="0"/>
        <w:adjustRightInd w:val="0"/>
        <w:spacing w:after="0" w:line="240" w:lineRule="auto"/>
        <w:ind w:firstLine="708"/>
        <w:jc w:val="both"/>
        <w:rPr>
          <w:rFonts w:ascii="Times New Roman" w:hAnsi="Times New Roman" w:cs="Times New Roman"/>
          <w:color w:val="000000" w:themeColor="text1"/>
          <w:lang w:val="id-ID"/>
        </w:rPr>
      </w:pPr>
      <w:r w:rsidRPr="00B4645F">
        <w:rPr>
          <w:rFonts w:ascii="Times New Roman" w:hAnsi="Times New Roman" w:cs="Times New Roman"/>
          <w:color w:val="000000" w:themeColor="text1"/>
          <w:lang w:val="id-ID"/>
        </w:rPr>
        <w:t>Dalam implementasi kebijakan rehabilitasi, ada beberapa aktor yang terlibat. Setiap aktor memiliki tugas dan kewenangan yang berbeda sesuai dengan proporsi dan konsensus yang ada. Salah satu aktor yang memiliki tanggung jawab cukup besar dalam pelaksanaan rehabilitasi di lapangan adalah agen pemulihan. Dalam kegiatannya, agen pemulihan mengelola kewenangan yang diberikan pemerintah dengan memanfaatkan modal sosial yang ada. Tingkat kerawanan dan penyalahgunaan narkoba dapat dijangkau lebih mendalam. Obyek program rehabilitasi lebih tepat sasaran. Dinamika yang muncul dari proses rehabilitasi dapat dikelola. Karena agen lebih mengenal karakter, kebiasaan, dan nilai-nilai yang dianut oleh masyarakat. Pemerintah bertanggung jawab terhadap perencanaan, penjajakan elemen, penganggaran, peningkatan kapasitas, dan evaluasi program rehabilitasi berbasis komunal.</w:t>
      </w:r>
    </w:p>
    <w:p w14:paraId="3DB1A703" w14:textId="3D6E4754" w:rsidR="00085D3D" w:rsidRPr="00BD5759" w:rsidRDefault="00C60367" w:rsidP="00C60367">
      <w:pPr>
        <w:autoSpaceDE w:val="0"/>
        <w:autoSpaceDN w:val="0"/>
        <w:adjustRightInd w:val="0"/>
        <w:spacing w:after="0" w:line="240" w:lineRule="auto"/>
        <w:ind w:firstLine="708"/>
        <w:jc w:val="both"/>
        <w:rPr>
          <w:rFonts w:ascii="Times New Roman" w:hAnsi="Times New Roman" w:cs="Times New Roman"/>
          <w:color w:val="000000" w:themeColor="text1"/>
          <w:lang w:val="id-ID"/>
        </w:rPr>
      </w:pPr>
      <w:r w:rsidRPr="00B4645F">
        <w:rPr>
          <w:rFonts w:ascii="Times New Roman" w:hAnsi="Times New Roman" w:cs="Times New Roman"/>
          <w:color w:val="000000" w:themeColor="text1"/>
          <w:lang w:val="id-ID"/>
        </w:rPr>
        <w:t xml:space="preserve">Kami berupaya menampilkan sekaligus menganalisa implementasi program rehabilitasi dalam perspektif kebijakan publik. Salah satu bangunan konsep model kebijakan publik dalam pelaksanaan rehabilitasi adalah </w:t>
      </w:r>
      <w:r w:rsidRPr="009310AF">
        <w:rPr>
          <w:rFonts w:ascii="Times New Roman" w:hAnsi="Times New Roman" w:cs="Times New Roman"/>
          <w:i/>
          <w:iCs/>
          <w:color w:val="000000" w:themeColor="text1"/>
          <w:lang w:val="id-ID"/>
        </w:rPr>
        <w:t>collaborative governance</w:t>
      </w:r>
      <w:r w:rsidRPr="00B4645F">
        <w:rPr>
          <w:rFonts w:ascii="Times New Roman" w:hAnsi="Times New Roman" w:cs="Times New Roman"/>
          <w:color w:val="000000" w:themeColor="text1"/>
          <w:lang w:val="id-ID"/>
        </w:rPr>
        <w:t>. Pada kenyataannya, implementasi model tersebut masih belum sempurna. Fakta yang ditemukan berdampak pada proses kegiatan. Aktor politik lokal yang memiliki kuasa wilayah menjadi salah satu penyebab. Kondisi inilah yang seharusnya menjadi evaluasi bagi pemerintah.</w:t>
      </w:r>
      <w:r w:rsidR="00085D3D" w:rsidRPr="00BD5759">
        <w:rPr>
          <w:rFonts w:ascii="Times New Roman" w:hAnsi="Times New Roman" w:cs="Times New Roman"/>
          <w:color w:val="000000" w:themeColor="text1"/>
          <w:lang w:val="id-ID"/>
        </w:rPr>
        <w:t xml:space="preserve"> </w:t>
      </w:r>
    </w:p>
    <w:p w14:paraId="2166ACA6" w14:textId="77777777" w:rsidR="00CD642F" w:rsidRPr="00BD5759" w:rsidRDefault="00CD642F" w:rsidP="00D47C77">
      <w:pPr>
        <w:autoSpaceDE w:val="0"/>
        <w:autoSpaceDN w:val="0"/>
        <w:adjustRightInd w:val="0"/>
        <w:spacing w:after="0" w:line="240" w:lineRule="auto"/>
        <w:jc w:val="both"/>
        <w:rPr>
          <w:rFonts w:ascii="Times New Roman" w:hAnsi="Times New Roman" w:cs="Times New Roman"/>
          <w:color w:val="000000" w:themeColor="text1"/>
          <w:sz w:val="20"/>
          <w:szCs w:val="20"/>
          <w:lang w:val="id-ID"/>
        </w:rPr>
      </w:pPr>
    </w:p>
    <w:p w14:paraId="5B03D526" w14:textId="5225870A" w:rsidR="00C015A8" w:rsidRPr="00BD5759" w:rsidRDefault="00C015A8" w:rsidP="00750ADC">
      <w:pPr>
        <w:spacing w:after="0" w:line="240" w:lineRule="auto"/>
        <w:jc w:val="center"/>
        <w:rPr>
          <w:rFonts w:asciiTheme="majorBidi" w:eastAsia="Times New Roman" w:hAnsiTheme="majorBidi" w:cstheme="majorBidi"/>
          <w:b/>
          <w:color w:val="0070C0"/>
          <w:sz w:val="24"/>
          <w:szCs w:val="24"/>
          <w:lang w:val="id-ID"/>
        </w:rPr>
      </w:pPr>
      <w:r w:rsidRPr="00BD5759">
        <w:rPr>
          <w:rFonts w:asciiTheme="majorBidi" w:eastAsia="Times New Roman" w:hAnsiTheme="majorBidi" w:cstheme="majorBidi"/>
          <w:b/>
          <w:color w:val="0070C0"/>
          <w:sz w:val="24"/>
          <w:szCs w:val="24"/>
          <w:lang w:val="id-ID"/>
        </w:rPr>
        <w:t>METODE PENELITIAN</w:t>
      </w:r>
    </w:p>
    <w:p w14:paraId="04BA5F29" w14:textId="77777777" w:rsidR="00750ADC" w:rsidRPr="00BD5759" w:rsidRDefault="00750ADC" w:rsidP="00750ADC">
      <w:pPr>
        <w:spacing w:after="0" w:line="240" w:lineRule="auto"/>
        <w:jc w:val="center"/>
        <w:rPr>
          <w:rFonts w:asciiTheme="majorBidi" w:eastAsia="Times New Roman" w:hAnsiTheme="majorBidi" w:cstheme="majorBidi"/>
          <w:b/>
          <w:color w:val="000000" w:themeColor="text1"/>
          <w:sz w:val="24"/>
          <w:szCs w:val="24"/>
          <w:lang w:val="id-ID"/>
        </w:rPr>
      </w:pPr>
    </w:p>
    <w:p w14:paraId="070616F9" w14:textId="78819D8B" w:rsidR="00C8046E" w:rsidRPr="00FF49E0" w:rsidRDefault="00C60367" w:rsidP="00D47C77">
      <w:pPr>
        <w:spacing w:after="0" w:line="240" w:lineRule="auto"/>
        <w:ind w:firstLine="720"/>
        <w:jc w:val="both"/>
        <w:rPr>
          <w:rFonts w:ascii="Times New Roman" w:eastAsiaTheme="minorHAnsi" w:hAnsi="Times New Roman" w:cs="Times New Roman"/>
          <w:lang w:val="id-ID"/>
        </w:rPr>
      </w:pPr>
      <w:r w:rsidRPr="00B4645F">
        <w:rPr>
          <w:rFonts w:ascii="Times New Roman" w:eastAsiaTheme="minorHAnsi" w:hAnsi="Times New Roman" w:cs="Times New Roman"/>
          <w:lang w:val="id-ID"/>
        </w:rPr>
        <w:t xml:space="preserve">Untuk menganalisis paper tentang kebijakan </w:t>
      </w:r>
      <w:r w:rsidRPr="00BD5759">
        <w:rPr>
          <w:rFonts w:ascii="Times New Roman" w:eastAsiaTheme="minorHAnsi" w:hAnsi="Times New Roman" w:cs="Times New Roman"/>
          <w:i/>
          <w:iCs/>
          <w:lang w:val="id-ID"/>
        </w:rPr>
        <w:t>collaborative governance</w:t>
      </w:r>
      <w:r w:rsidRPr="00BD5759">
        <w:rPr>
          <w:rFonts w:ascii="Times New Roman" w:eastAsiaTheme="minorHAnsi" w:hAnsi="Times New Roman" w:cs="Times New Roman"/>
          <w:lang w:val="id-ID"/>
        </w:rPr>
        <w:t xml:space="preserve"> melalui Intervensi Berbasis Masyarakat</w:t>
      </w:r>
      <w:r w:rsidRPr="00B4645F">
        <w:rPr>
          <w:rFonts w:ascii="Times New Roman" w:eastAsiaTheme="minorHAnsi" w:hAnsi="Times New Roman" w:cs="Times New Roman"/>
          <w:lang w:val="id-ID"/>
        </w:rPr>
        <w:t xml:space="preserve"> </w:t>
      </w:r>
      <w:r w:rsidRPr="00BD5759">
        <w:rPr>
          <w:rFonts w:ascii="Times New Roman" w:eastAsiaTheme="minorHAnsi" w:hAnsi="Times New Roman" w:cs="Times New Roman"/>
          <w:lang w:val="id-ID"/>
        </w:rPr>
        <w:t>dalam</w:t>
      </w:r>
      <w:r w:rsidRPr="00B4645F">
        <w:rPr>
          <w:rFonts w:ascii="Times New Roman" w:eastAsiaTheme="minorHAnsi" w:hAnsi="Times New Roman" w:cs="Times New Roman"/>
          <w:lang w:val="id-ID"/>
        </w:rPr>
        <w:t xml:space="preserve"> rehabilitasi penyalahguna</w:t>
      </w:r>
      <w:r w:rsidR="00297F1B" w:rsidRPr="00FF49E0">
        <w:rPr>
          <w:rFonts w:ascii="Times New Roman" w:eastAsiaTheme="minorHAnsi" w:hAnsi="Times New Roman" w:cs="Times New Roman"/>
          <w:lang w:val="id-ID"/>
        </w:rPr>
        <w:t>an</w:t>
      </w:r>
      <w:r w:rsidRPr="00B4645F">
        <w:rPr>
          <w:rFonts w:ascii="Times New Roman" w:eastAsiaTheme="minorHAnsi" w:hAnsi="Times New Roman" w:cs="Times New Roman"/>
          <w:lang w:val="id-ID"/>
        </w:rPr>
        <w:t xml:space="preserve"> narkoba, kami menggunakan metode analisis isi kualitatif. Cresswell (1994) penelitian kualitatif dipengaruhi oleh paradigma </w:t>
      </w:r>
      <w:r w:rsidRPr="00297F1B">
        <w:rPr>
          <w:rFonts w:ascii="Times New Roman" w:eastAsiaTheme="minorHAnsi" w:hAnsi="Times New Roman" w:cs="Times New Roman"/>
          <w:i/>
          <w:iCs/>
          <w:lang w:val="id-ID"/>
        </w:rPr>
        <w:t>naturalistic-interpretatif</w:t>
      </w:r>
      <w:r w:rsidRPr="00B4645F">
        <w:rPr>
          <w:rFonts w:ascii="Times New Roman" w:eastAsiaTheme="minorHAnsi" w:hAnsi="Times New Roman" w:cs="Times New Roman"/>
          <w:lang w:val="id-ID"/>
        </w:rPr>
        <w:t>, mencoba membangun realitas dan memahami maknanya sehingga aspek proses, peristiwa, dan otensitas menjadi aspek yang sangat penting</w:t>
      </w:r>
      <w:r w:rsidR="00D7421D" w:rsidRPr="00FF49E0">
        <w:rPr>
          <w:rFonts w:ascii="Times New Roman" w:eastAsiaTheme="minorHAnsi" w:hAnsi="Times New Roman" w:cs="Times New Roman"/>
          <w:lang w:val="id-ID"/>
        </w:rPr>
        <w:t xml:space="preserve"> </w:t>
      </w:r>
      <w:r w:rsidR="00D7421D">
        <w:rPr>
          <w:rFonts w:ascii="Times New Roman" w:eastAsiaTheme="minorHAnsi" w:hAnsi="Times New Roman" w:cs="Times New Roman"/>
          <w:lang w:val="en-ID"/>
        </w:rPr>
        <w:fldChar w:fldCharType="begin" w:fldLock="1"/>
      </w:r>
      <w:r w:rsidR="00303B9E" w:rsidRPr="00FF49E0">
        <w:rPr>
          <w:rFonts w:ascii="Times New Roman" w:eastAsiaTheme="minorHAnsi" w:hAnsi="Times New Roman" w:cs="Times New Roman"/>
          <w:lang w:val="id-ID"/>
        </w:rPr>
        <w:instrText>ADDIN CSL_CITATION {"citationItems":[{"id":"ITEM-1","itemData":{"abstract":"Analisis isi merupakan metode penelitian yang digunakan untuk mengetahui kecenderungan isi komunikasi. Ada dua pendekatan yang sering digunakan yaitu analisis isi kuantitatif dan analisis isi kualitatif.","author":[{"dropping-particle":"","family":"Ahmad","given":"Jumal","non-dropping-particle":"","parse-names":false,"suffix":""}],"container-title":"Jurnal Analisis Isi","id":"ITEM-1","issue":"9","issued":{"date-parts":[["2018"]]},"page":"1-20","title":"Desain Penelitian Analisis Isi (Content Analysis)","type":"article-journal","volume":"5"},"uris":["http://www.mendeley.com/documents/?uuid=008f0e9e-79b2-4853-8255-6acc5f93b30f"]}],"mendeley":{"formattedCitation":"(Ahmad, 2018)","plainTextFormattedCitation":"(Ahmad, 2018)","previouslyFormattedCitation":"(Ahmad, 2018)"},"properties":{"noteIndex":0},"schema":"https://github.com/citation-style-language/schema/raw/master/csl-citation.json"}</w:instrText>
      </w:r>
      <w:r w:rsidR="00D7421D">
        <w:rPr>
          <w:rFonts w:ascii="Times New Roman" w:eastAsiaTheme="minorHAnsi" w:hAnsi="Times New Roman" w:cs="Times New Roman"/>
          <w:lang w:val="en-ID"/>
        </w:rPr>
        <w:fldChar w:fldCharType="separate"/>
      </w:r>
      <w:r w:rsidR="00D7421D" w:rsidRPr="00FF49E0">
        <w:rPr>
          <w:rFonts w:ascii="Times New Roman" w:eastAsiaTheme="minorHAnsi" w:hAnsi="Times New Roman" w:cs="Times New Roman"/>
          <w:noProof/>
          <w:lang w:val="id-ID"/>
        </w:rPr>
        <w:t>(Ahmad, 2018)</w:t>
      </w:r>
      <w:r w:rsidR="00D7421D">
        <w:rPr>
          <w:rFonts w:ascii="Times New Roman" w:eastAsiaTheme="minorHAnsi" w:hAnsi="Times New Roman" w:cs="Times New Roman"/>
          <w:lang w:val="en-ID"/>
        </w:rPr>
        <w:fldChar w:fldCharType="end"/>
      </w:r>
      <w:r w:rsidRPr="00B4645F">
        <w:rPr>
          <w:rFonts w:ascii="Times New Roman" w:eastAsiaTheme="minorHAnsi" w:hAnsi="Times New Roman" w:cs="Times New Roman"/>
          <w:lang w:val="id-ID"/>
        </w:rPr>
        <w:t xml:space="preserve"> </w:t>
      </w:r>
      <w:r w:rsidRPr="00B4645F">
        <w:rPr>
          <w:rFonts w:ascii="Times New Roman" w:eastAsiaTheme="minorHAnsi" w:hAnsi="Times New Roman" w:cs="Times New Roman"/>
          <w:lang w:val="id-ID"/>
        </w:rPr>
        <w:fldChar w:fldCharType="begin" w:fldLock="1"/>
      </w:r>
      <w:r w:rsidRPr="00B4645F">
        <w:rPr>
          <w:rFonts w:ascii="Times New Roman" w:eastAsiaTheme="minorHAnsi" w:hAnsi="Times New Roman" w:cs="Times New Roman"/>
          <w:lang w:val="id-ID"/>
        </w:rPr>
        <w:instrText>ADDIN CSL_CITATION {"citationItems":[{"id":"ITEM-1","itemData":{"abstract":"Analisis isi merupakan metode penelitian yang digunakan untuk mengetahui kecenderungan isi komunikasi. Ada dua pendekatan yang sering digunakan yaitu analisis isi kuantitatif dan analisis isi kualitatif.","author":[{"dropping-particle":"","family":"Ahmad","given":"Jumal","non-dropping-particle":"","parse-names":false,"suffix":""}],"container-title":"Jurnal Analisis Isi","id":"ITEM-1","issue":"9","issued":{"date-parts":[["2018"]]},"page":"1-20","title":"Desain Penelitian Analisis Isi (Content Analysis)","type":"article-journal","volume":"5"},"uris":["http://www.mendeley.com/documents/?uuid=008f0e9e-79b2-4853-8255-6acc5f93b30f"]}],"mendeley":{"formattedCitation":"(Ahmad, 2018)","plainTextFormattedCitation":"(Ahmad, 2018)","previouslyFormattedCitation":"(Ahmad, 2018)"},"properties":{"noteIndex":0},"schema":"https://github.com/citation-style-language/schema/raw/master/csl-citation.json"}</w:instrText>
      </w:r>
      <w:r w:rsidRPr="00B4645F">
        <w:rPr>
          <w:rFonts w:ascii="Times New Roman" w:eastAsiaTheme="minorHAnsi" w:hAnsi="Times New Roman" w:cs="Times New Roman"/>
          <w:lang w:val="id-ID"/>
        </w:rPr>
        <w:fldChar w:fldCharType="separate"/>
      </w:r>
      <w:r w:rsidRPr="00B4645F">
        <w:rPr>
          <w:rFonts w:ascii="Times New Roman" w:eastAsiaTheme="minorHAnsi" w:hAnsi="Times New Roman" w:cs="Times New Roman"/>
          <w:noProof/>
          <w:lang w:val="id-ID"/>
        </w:rPr>
        <w:t>(Ahmad, 2018)</w:t>
      </w:r>
      <w:r w:rsidRPr="00B4645F">
        <w:rPr>
          <w:rFonts w:ascii="Times New Roman" w:eastAsiaTheme="minorHAnsi" w:hAnsi="Times New Roman" w:cs="Times New Roman"/>
        </w:rPr>
        <w:fldChar w:fldCharType="end"/>
      </w:r>
      <w:r w:rsidRPr="00B4645F">
        <w:rPr>
          <w:rFonts w:ascii="Times New Roman" w:eastAsiaTheme="minorHAnsi" w:hAnsi="Times New Roman" w:cs="Times New Roman"/>
          <w:lang w:val="id-ID"/>
        </w:rPr>
        <w:t xml:space="preserve">. Metode analisis isi perlu mengamati fenomena komunikasi dengan merumuskan apa yang diteliti secara tepat, dan segala tindakan harus didasarkan pada tujuan tersebut </w:t>
      </w:r>
      <w:r w:rsidRPr="00B4645F">
        <w:rPr>
          <w:rFonts w:ascii="Times New Roman" w:eastAsiaTheme="minorHAnsi" w:hAnsi="Times New Roman" w:cs="Times New Roman"/>
          <w:lang w:val="id-ID"/>
        </w:rPr>
        <w:fldChar w:fldCharType="begin" w:fldLock="1"/>
      </w:r>
      <w:r w:rsidRPr="00B4645F">
        <w:rPr>
          <w:rFonts w:ascii="Times New Roman" w:eastAsiaTheme="minorHAnsi" w:hAnsi="Times New Roman" w:cs="Times New Roman"/>
          <w:lang w:val="id-ID"/>
        </w:rPr>
        <w:instrText>ADDIN CSL_CITATION {"citationItems":[{"id":"ITEM-1","itemData":{"DOI":"10.1177/21582440221105820","ISSN":"21582440","abstract":"Extensive research has been carried out on government capacity to cope with the pandemic. However, little study on this issue exists examining it in the context of the creative economy sector. It has been argued that the successful organizations to address changes in the environment are determined by their organizational capacity. In this paper, we analyze the Indonesian government’s capacity to recover the creative economy sector during the first year of the COVID-19 pandemic. The qualitative content analysis method and key informant interviews were undertaken to understand government capacity. The paper extended the RISE (resilience, intention, sustain, and endurance) model to understand the process of government actions in recovering the creative economy sector from the adverse effects of the COVID-19 pandemic. The RISE model portrays the government’s capacity to respond to the hostile and uncertain environment through tax and loan relaxation, social and health assistance, and capacity building. This paper provides valuable insight into public administration by highlighting government responses to the global pandemic. By analyzing four stages of government actions in restoring the creative economy sector, this study shows that the expected outcomes are far from satisfactory. The government intervention during the first year of the COVID-19 pandemic becomes ineffective because the government is weak in preparing the creative economy recovery policies according to the needs of creative economy actors and accurate data. These findings suggest that the central and local government should improve their collaborative capacity to upgrade the creative economy recovery programs according to the local aspiration.","author":[{"dropping-particle":"","family":"Rosyadi","given":"Slamet","non-dropping-particle":"","parse-names":false,"suffix":""},{"dropping-particle":"","family":"Sabiq","given":"Ahmad","non-dropping-particle":"","parse-names":false,"suffix":""},{"dropping-particle":"","family":"Ahmad","given":"Abdul Aziz","non-dropping-particle":"","parse-names":false,"suffix":""},{"dropping-particle":"","family":"Nuryanti","given":"","non-dropping-particle":"","parse-names":false,"suffix":""}],"container-title":"SAGE Open","id":"ITEM-1","issue":"2","issued":{"date-parts":[["2022"]]},"page":"1-16","title":"The Indonesian Government Capacity in Responding to the COVID-19 Impacts on the Creative Economy Sector","type":"article-journal","volume":"12"},"uris":["http://www.mendeley.com/documents/?uuid=7d5043e2-c4e2-4ea0-8286-9d81dd035398"]}],"mendeley":{"formattedCitation":"(Rosyadi et al., 2022)","plainTextFormattedCitation":"(Rosyadi et al., 2022)","previouslyFormattedCitation":"(Rosyadi et al., 2022)"},"properties":{"noteIndex":0},"schema":"https://github.com/citation-style-language/schema/raw/master/csl-citation.json"}</w:instrText>
      </w:r>
      <w:r w:rsidRPr="00B4645F">
        <w:rPr>
          <w:rFonts w:ascii="Times New Roman" w:eastAsiaTheme="minorHAnsi" w:hAnsi="Times New Roman" w:cs="Times New Roman"/>
          <w:lang w:val="id-ID"/>
        </w:rPr>
        <w:fldChar w:fldCharType="separate"/>
      </w:r>
      <w:r w:rsidRPr="00B4645F">
        <w:rPr>
          <w:rFonts w:ascii="Times New Roman" w:eastAsiaTheme="minorHAnsi" w:hAnsi="Times New Roman" w:cs="Times New Roman"/>
          <w:noProof/>
          <w:lang w:val="id-ID"/>
        </w:rPr>
        <w:t>(Rosyadi et al., 2022)</w:t>
      </w:r>
      <w:r w:rsidRPr="00B4645F">
        <w:rPr>
          <w:rFonts w:ascii="Times New Roman" w:eastAsiaTheme="minorHAnsi" w:hAnsi="Times New Roman" w:cs="Times New Roman"/>
        </w:rPr>
        <w:fldChar w:fldCharType="end"/>
      </w:r>
      <w:r w:rsidRPr="00BD5759">
        <w:rPr>
          <w:rFonts w:ascii="Times New Roman" w:eastAsiaTheme="minorHAnsi" w:hAnsi="Times New Roman" w:cs="Times New Roman"/>
          <w:lang w:val="id-ID"/>
        </w:rPr>
        <w:t xml:space="preserve">. </w:t>
      </w:r>
      <w:r w:rsidR="00A37473" w:rsidRPr="00FF49E0">
        <w:rPr>
          <w:rFonts w:ascii="Times New Roman" w:eastAsiaTheme="minorHAnsi" w:hAnsi="Times New Roman" w:cs="Times New Roman"/>
          <w:lang w:val="id-ID"/>
        </w:rPr>
        <w:t xml:space="preserve">Dalam pengumpulan data menggunakan metode literatur review </w:t>
      </w:r>
      <w:r w:rsidR="00303B9E" w:rsidRPr="00FF49E0">
        <w:rPr>
          <w:rFonts w:ascii="Times New Roman" w:eastAsiaTheme="minorHAnsi" w:hAnsi="Times New Roman" w:cs="Times New Roman"/>
          <w:lang w:val="id-ID"/>
        </w:rPr>
        <w:t xml:space="preserve">untuk mengkaji sumber-sumber tertulis yang relevan dan berbagai publikasi mengenai pelaksanaan kebijakan rehabilitasi. Observasi lapangan juga dilakukan untuk mengamati secara langsung dan selanjutnya dilakukan interpretasi dan analisa sehingga dapat dilakukan penyajian data dalam bentuk teks. </w:t>
      </w:r>
      <w:r w:rsidRPr="00BD5759">
        <w:rPr>
          <w:rFonts w:ascii="Times New Roman" w:eastAsiaTheme="minorHAnsi" w:hAnsi="Times New Roman" w:cs="Times New Roman"/>
          <w:lang w:val="id-ID"/>
        </w:rPr>
        <w:t>Kami juga melakukan wawancara dengan tokoh kunci eksekutor kebijakan untuk mendapatkan gambaran secara langsung tentang implementasi kebijakan tersebut.</w:t>
      </w:r>
      <w:r w:rsidR="00A37473" w:rsidRPr="00FF49E0">
        <w:rPr>
          <w:rFonts w:ascii="Times New Roman" w:eastAsiaTheme="minorHAnsi" w:hAnsi="Times New Roman" w:cs="Times New Roman"/>
          <w:lang w:val="id-ID"/>
        </w:rPr>
        <w:t xml:space="preserve"> </w:t>
      </w:r>
    </w:p>
    <w:p w14:paraId="385DF930" w14:textId="77777777" w:rsidR="00750ADC" w:rsidRPr="00BD5759" w:rsidRDefault="00750ADC" w:rsidP="00F864D7">
      <w:pPr>
        <w:spacing w:after="0" w:line="240" w:lineRule="auto"/>
        <w:jc w:val="both"/>
        <w:rPr>
          <w:rFonts w:asciiTheme="majorBidi" w:eastAsia="Times New Roman" w:hAnsiTheme="majorBidi" w:cstheme="majorBidi"/>
          <w:color w:val="000000" w:themeColor="text1"/>
          <w:lang w:val="id-ID"/>
        </w:rPr>
      </w:pPr>
    </w:p>
    <w:p w14:paraId="4BC43573" w14:textId="56BB55AC" w:rsidR="00973470" w:rsidRPr="00BD5759" w:rsidRDefault="009942F8" w:rsidP="00750ADC">
      <w:pPr>
        <w:spacing w:after="0" w:line="240" w:lineRule="auto"/>
        <w:jc w:val="center"/>
        <w:rPr>
          <w:rFonts w:asciiTheme="majorBidi" w:eastAsia="Times New Roman" w:hAnsiTheme="majorBidi" w:cstheme="majorBidi"/>
          <w:b/>
          <w:color w:val="0070C0"/>
          <w:sz w:val="24"/>
          <w:szCs w:val="24"/>
          <w:lang w:val="id-ID"/>
        </w:rPr>
      </w:pPr>
      <w:r w:rsidRPr="00BD5759">
        <w:rPr>
          <w:rFonts w:asciiTheme="majorBidi" w:eastAsia="Times New Roman" w:hAnsiTheme="majorBidi" w:cstheme="majorBidi"/>
          <w:b/>
          <w:color w:val="0070C0"/>
          <w:sz w:val="24"/>
          <w:szCs w:val="24"/>
          <w:lang w:val="id-ID"/>
        </w:rPr>
        <w:t>HASIL DAN PEMBAHASAN</w:t>
      </w:r>
    </w:p>
    <w:p w14:paraId="749A7FEE" w14:textId="77777777" w:rsidR="00E14C15" w:rsidRPr="00BD5759" w:rsidRDefault="00E14C15" w:rsidP="00750ADC">
      <w:pPr>
        <w:spacing w:after="0" w:line="240" w:lineRule="auto"/>
        <w:jc w:val="center"/>
        <w:rPr>
          <w:rFonts w:asciiTheme="majorBidi" w:eastAsia="Times New Roman" w:hAnsiTheme="majorBidi" w:cstheme="majorBidi"/>
          <w:b/>
          <w:color w:val="0070C0"/>
          <w:sz w:val="24"/>
          <w:szCs w:val="24"/>
          <w:lang w:val="id-ID"/>
        </w:rPr>
      </w:pPr>
    </w:p>
    <w:p w14:paraId="36F1B353" w14:textId="3A83A46E" w:rsidR="00C60367" w:rsidRPr="00BD5759"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i/>
          <w:iCs/>
          <w:lang w:val="id-ID" w:eastAsia="en-US"/>
        </w:rPr>
        <w:t>Collaborative governance</w:t>
      </w:r>
      <w:r w:rsidRPr="00907463">
        <w:rPr>
          <w:rFonts w:ascii="Times New Roman" w:eastAsiaTheme="minorHAnsi" w:hAnsi="Times New Roman" w:cs="Times New Roman"/>
          <w:lang w:val="id-ID" w:eastAsia="en-US"/>
        </w:rPr>
        <w:t xml:space="preserve"> merupakan pengaturan pemerintahan di mana satu atau lebih lembaga publik secara langsung melibatkan pemangku kepentingan non-negara dalam proses pengambilan keputusan kolektif yang formal, berorientasi pada konsensus, dan musyawarah dan yang bertujuan untuk membuat atau melaksanakan kebijakan publik </w:t>
      </w:r>
      <w:r w:rsidRPr="00907463">
        <w:rPr>
          <w:rFonts w:ascii="Times New Roman" w:eastAsiaTheme="minorHAnsi" w:hAnsi="Times New Roman" w:cs="Times New Roman"/>
          <w:lang w:val="id-ID" w:eastAsia="en-US"/>
        </w:rPr>
        <w:lastRenderedPageBreak/>
        <w:t xml:space="preserve">atau mengelola program atau aset publik </w:t>
      </w:r>
      <w:r w:rsidRPr="00907463">
        <w:rPr>
          <w:rFonts w:ascii="Times New Roman" w:eastAsiaTheme="minorHAnsi" w:hAnsi="Times New Roman" w:cs="Times New Roman"/>
          <w:vertAlign w:val="superscript"/>
          <w:lang w:val="id-ID" w:eastAsia="en-US"/>
        </w:rPr>
        <w:fldChar w:fldCharType="begin" w:fldLock="1"/>
      </w:r>
      <w:r w:rsidRPr="00907463">
        <w:rPr>
          <w:rFonts w:ascii="Times New Roman" w:eastAsiaTheme="minorHAnsi" w:hAnsi="Times New Roman" w:cs="Times New Roman"/>
          <w:lang w:val="id-ID" w:eastAsia="en-US"/>
        </w:rPr>
        <w:instrText>ADDIN CSL_CITATION {"citationItems":[{"id":"ITEM-1","itemData":{"DOI":"10.1093/jopart/mum032","ISSN":"10531858","abstract":"Over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author":[{"dropping-particle":"","family":"Ansell","given":"Chris","non-dropping-particle":"","parse-names":false,"suffix":""},{"dropping-particle":"","family":"Gash","given":"Alison","non-dropping-particle":"","parse-names":false,"suffix":""}],"container-title":"Journal of Public Administration Research and Theory","id":"ITEM-1","issue":"4","issued":{"date-parts":[["2008"]]},"page":"543-571","title":"Collaborative governance in theory and practice","type":"article-journal","volume":"18"},"uris":["http://www.mendeley.com/documents/?uuid=deea6a86-dae1-467d-8cc2-003ffbc612ed"]}],"mendeley":{"formattedCitation":"(Ansell &amp; Gash, 2008)","manualFormatting":"(Ansell &amp; Gash, 2007)","plainTextFormattedCitation":"(Ansell &amp; Gash, 2008)","previouslyFormattedCitation":"(Ansell &amp; Gash, 2008)"},"properties":{"noteIndex":0},"schema":"https://github.com/citation-style-language/schema/raw/master/csl-citation.json"}</w:instrText>
      </w:r>
      <w:r w:rsidRPr="00907463">
        <w:rPr>
          <w:rFonts w:ascii="Times New Roman" w:eastAsiaTheme="minorHAnsi" w:hAnsi="Times New Roman" w:cs="Times New Roman"/>
          <w:vertAlign w:val="superscript"/>
          <w:lang w:val="id-ID" w:eastAsia="en-US"/>
        </w:rPr>
        <w:fldChar w:fldCharType="separate"/>
      </w:r>
      <w:r w:rsidRPr="00907463">
        <w:rPr>
          <w:rFonts w:ascii="Times New Roman" w:eastAsiaTheme="minorHAnsi" w:hAnsi="Times New Roman" w:cs="Times New Roman"/>
          <w:noProof/>
          <w:lang w:val="id-ID" w:eastAsia="en-US"/>
        </w:rPr>
        <w:t>(Ansell &amp; Gash, 2007)</w:t>
      </w:r>
      <w:r w:rsidRPr="00907463">
        <w:rPr>
          <w:rFonts w:ascii="Times New Roman" w:eastAsiaTheme="minorHAnsi" w:hAnsi="Times New Roman" w:cs="Times New Roman"/>
          <w:lang w:eastAsia="en-US"/>
        </w:rPr>
        <w:fldChar w:fldCharType="end"/>
      </w:r>
      <w:r w:rsidRPr="00907463">
        <w:rPr>
          <w:rFonts w:ascii="Times New Roman" w:eastAsiaTheme="minorHAnsi" w:hAnsi="Times New Roman" w:cs="Times New Roman"/>
          <w:lang w:val="id-ID" w:eastAsia="en-US"/>
        </w:rPr>
        <w:t xml:space="preserve">. Sebuah pendekatan pengambilan keputusan, tata kelola kolaboratif, serangkaian aktivitas bersama di mana mitra saling menghasilkan tujuan dan strategi dan berbagi tanggung jawab dan sumber daya </w:t>
      </w:r>
      <w:r w:rsidRPr="00907463">
        <w:rPr>
          <w:rFonts w:ascii="Times New Roman" w:eastAsiaTheme="minorHAnsi" w:hAnsi="Times New Roman" w:cs="Times New Roman"/>
          <w:lang w:val="id-ID" w:eastAsia="en-US"/>
        </w:rPr>
        <w:fldChar w:fldCharType="begin" w:fldLock="1"/>
      </w:r>
      <w:r w:rsidR="00D7421D">
        <w:rPr>
          <w:rFonts w:ascii="Times New Roman" w:eastAsiaTheme="minorHAnsi" w:hAnsi="Times New Roman" w:cs="Times New Roman"/>
          <w:lang w:val="id-ID" w:eastAsia="en-US"/>
        </w:rPr>
        <w:instrText>ADDIN CSL_CITATION {"citationItems":[{"id":"ITEM-1","itemData":{"DOI":"10.1016/j.jenvman.2012.07.032","ISSN":"03014797","PMID":"22898708","abstract":"The challenges of integrated, adaptive and ecosystem management are leading government agencies to adopt participatory modes of engagement. Collaborative governance is a form of participation in which stakeholders co-produce goals and strategies and share responsibilities and resources. We assess the potential and challenges of collaborative governance as a mechanism to provide an integrated, ecosystem approach to natural resource management, using red deer in Scotland as a case study. Collaborative Deer Management Groups offer a well-established example of a 'bridging organisation', intended to reduce costs and facilitate decision making and learning across institutions and scales. We examine who initiates collaborative processes and why, what roles different actors adopt and how these factors influence the outcomes, particularly at a time of changing values, management and legislative priorities. Our findings demonstrate the need for careful consideration of where and how shared responsibility might be best implemented and sustained as state agencies often remain key to the process, despite the partnership intention. Differing interpretations between agencies and landowners of the degree of autonomy and division of responsibilities involved in 'collaboration' can create tension, while the diversity of landowner priorities brings additional challenges for defining shared goals in red deer management and in other cases. Effective maintenance depends on appropriate role allocation and adoption of responsibilities, definition of convergent values and goals, and establishing communication and trust in institutional networks. Options that may help private stakeholders offset the costs of accepting responsibility for delivering public benefits need to be explicitly addressed to build capacity and support adaptation. This study indicates that collaborative governance has the potential to help reconcile statutory obligations with stakeholder empowerment. The potential of collaboration to reduce the costs of sustainable management remains contentious and, in times of increasing resource constraints, the potential mismatch between resource investment and anticipated goals is likely to become a critical issue, which may challenge the goals and capacity of the state and existing managers. © 2012 Elsevier Ltd.","author":[{"dropping-particle":"","family":"Davies","given":"Althea L.","non-dropping-particle":"","parse-names":false,"suffix":""},{"dropping-particle":"","family":"White","given":"Rehema M.","non-dropping-particle":"","parse-names":false,"suffix":""}],"container-title":"Journal of Environmental Management","id":"ITEM-1","issued":{"date-parts":[["2012"]]},"page":"160-169","publisher":"Elsevier Ltd","title":"Collaboration in natural resource governance: Reconciling stakeholder expectations in deer management in Scotland","type":"article-journal","volume":"112"},"uris":["http://www.mendeley.com/documents/?uuid=1e6cced4-7cfc-4290-b0b2-d08046f0e808"]}],"mendeley":{"formattedCitation":"(Davies &amp; White, 2012)","plainTextFormattedCitation":"(Davies &amp; White, 2012)","previouslyFormattedCitation":"(Davies &amp; White, 2012)"},"properties":{"noteIndex":0},"schema":"https://github.com/citation-style-language/schema/raw/master/csl-citation.json"}</w:instrText>
      </w:r>
      <w:r w:rsidRPr="00907463">
        <w:rPr>
          <w:rFonts w:ascii="Times New Roman" w:eastAsiaTheme="minorHAnsi" w:hAnsi="Times New Roman" w:cs="Times New Roman"/>
          <w:lang w:val="id-ID" w:eastAsia="en-US"/>
        </w:rPr>
        <w:fldChar w:fldCharType="separate"/>
      </w:r>
      <w:r w:rsidRPr="00907463">
        <w:rPr>
          <w:rFonts w:ascii="Times New Roman" w:eastAsiaTheme="minorHAnsi" w:hAnsi="Times New Roman" w:cs="Times New Roman"/>
          <w:noProof/>
          <w:lang w:val="id-ID" w:eastAsia="en-US"/>
        </w:rPr>
        <w:t>(Davies &amp; White, 2012)</w:t>
      </w:r>
      <w:r w:rsidRPr="00907463">
        <w:rPr>
          <w:rFonts w:ascii="Times New Roman" w:eastAsiaTheme="minorHAnsi" w:hAnsi="Times New Roman" w:cs="Times New Roman"/>
          <w:lang w:eastAsia="en-US"/>
        </w:rPr>
        <w:fldChar w:fldCharType="end"/>
      </w:r>
      <w:r w:rsidRPr="00907463">
        <w:rPr>
          <w:rFonts w:ascii="Times New Roman" w:eastAsiaTheme="minorHAnsi" w:hAnsi="Times New Roman" w:cs="Times New Roman"/>
          <w:lang w:val="id-ID" w:eastAsia="en-US"/>
        </w:rPr>
        <w:t xml:space="preserve">. </w:t>
      </w:r>
      <w:r w:rsidRPr="00907463">
        <w:rPr>
          <w:rFonts w:ascii="Times New Roman" w:eastAsiaTheme="minorHAnsi" w:hAnsi="Times New Roman" w:cs="Times New Roman"/>
          <w:i/>
          <w:iCs/>
          <w:lang w:val="id-ID" w:eastAsia="en-US"/>
        </w:rPr>
        <w:t>Collaborative governance</w:t>
      </w:r>
      <w:r w:rsidRPr="00907463">
        <w:rPr>
          <w:rFonts w:ascii="Times New Roman" w:eastAsiaTheme="minorHAnsi" w:hAnsi="Times New Roman" w:cs="Times New Roman"/>
          <w:lang w:val="id-ID" w:eastAsia="en-US"/>
        </w:rPr>
        <w:t> menekankan semua aspek yang memiliki kepentingan dalam kebijakan membuat persetujuan bersama dengan “berbagi kekuatan”</w:t>
      </w:r>
      <w:r w:rsidRPr="00907463">
        <w:rPr>
          <w:rFonts w:ascii="Times New Roman" w:eastAsiaTheme="minorHAnsi" w:hAnsi="Times New Roman" w:cs="Times New Roman"/>
          <w:lang w:val="en-ID" w:eastAsia="en-US"/>
        </w:rPr>
        <w:t xml:space="preserve"> </w:t>
      </w:r>
      <w:r w:rsidRPr="00907463">
        <w:rPr>
          <w:rFonts w:ascii="Times New Roman" w:eastAsiaTheme="minorHAnsi" w:hAnsi="Times New Roman" w:cs="Times New Roman"/>
          <w:lang w:val="id-ID" w:eastAsia="en-US"/>
        </w:rPr>
        <w:t>. (Taylo</w:t>
      </w:r>
      <w:r w:rsidRPr="00BD5759">
        <w:rPr>
          <w:rFonts w:ascii="Times New Roman" w:eastAsiaTheme="minorHAnsi" w:hAnsi="Times New Roman" w:cs="Times New Roman"/>
          <w:lang w:val="id-ID" w:eastAsia="en-US"/>
        </w:rPr>
        <w:t>r</w:t>
      </w:r>
      <w:r w:rsidRPr="00907463">
        <w:rPr>
          <w:rFonts w:ascii="Times New Roman" w:eastAsiaTheme="minorHAnsi" w:hAnsi="Times New Roman" w:cs="Times New Roman"/>
          <w:lang w:val="id-ID" w:eastAsia="en-US"/>
        </w:rPr>
        <w:t xml:space="preserve"> Brent and Rob C. de Loe, 2012)</w:t>
      </w:r>
      <w:r w:rsidRPr="00BD5759">
        <w:rPr>
          <w:rFonts w:ascii="Times New Roman" w:eastAsiaTheme="minorHAnsi" w:hAnsi="Times New Roman" w:cs="Times New Roman"/>
          <w:lang w:val="id-ID" w:eastAsia="en-US"/>
        </w:rPr>
        <w:t>.</w:t>
      </w:r>
    </w:p>
    <w:p w14:paraId="5939BE98" w14:textId="1751B273" w:rsidR="00C60367" w:rsidRPr="00BD5759"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 xml:space="preserve">Penekanan penting pada konsep ini: (1) forum diprakarsai oleh badan atau lembaga publik, (2) peserta forum mencakup aktor non-negara, (3) peserta terlibat langsung dalam pengambilan keputusan dan tidak sekadar “dikonsultasikan” oleh badan publik, (4) forum ini diselenggarakan secara formal dan bertemu secara kolektif, (5) forum bertujuan untuk mengambil keputusan melalui konsensus, dan (6) fokus kolaborasi adalah pada kebijakan publik atau manajemen publik </w:t>
      </w:r>
      <w:r w:rsidRPr="00907463">
        <w:rPr>
          <w:rFonts w:ascii="Times New Roman" w:eastAsiaTheme="minorHAnsi" w:hAnsi="Times New Roman" w:cs="Times New Roman"/>
          <w:vertAlign w:val="superscript"/>
          <w:lang w:val="id-ID" w:eastAsia="en-US"/>
        </w:rPr>
        <w:fldChar w:fldCharType="begin" w:fldLock="1"/>
      </w:r>
      <w:r w:rsidRPr="00907463">
        <w:rPr>
          <w:rFonts w:ascii="Times New Roman" w:eastAsiaTheme="minorHAnsi" w:hAnsi="Times New Roman" w:cs="Times New Roman"/>
          <w:lang w:val="id-ID" w:eastAsia="en-US"/>
        </w:rPr>
        <w:instrText>ADDIN CSL_CITATION {"citationItems":[{"id":"ITEM-1","itemData":{"DOI":"10.1093/jopart/mum032","ISSN":"10531858","abstract":"Over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author":[{"dropping-particle":"","family":"Ansell","given":"Chris","non-dropping-particle":"","parse-names":false,"suffix":""},{"dropping-particle":"","family":"Gash","given":"Alison","non-dropping-particle":"","parse-names":false,"suffix":""}],"container-title":"Journal of Public Administration Research and Theory","id":"ITEM-1","issue":"4","issued":{"date-parts":[["2008"]]},"page":"543-571","title":"Collaborative governance in theory and practice","type":"article-journal","volume":"18"},"uris":["http://www.mendeley.com/documents/?uuid=deea6a86-dae1-467d-8cc2-003ffbc612ed"]}],"mendeley":{"formattedCitation":"(Ansell &amp; Gash, 2008)","manualFormatting":"(Ansell &amp; Gash, 2007)","plainTextFormattedCitation":"(Ansell &amp; Gash, 2008)","previouslyFormattedCitation":"(Ansell &amp; Gash, 2008)"},"properties":{"noteIndex":0},"schema":"https://github.com/citation-style-language/schema/raw/master/csl-citation.json"}</w:instrText>
      </w:r>
      <w:r w:rsidRPr="00907463">
        <w:rPr>
          <w:rFonts w:ascii="Times New Roman" w:eastAsiaTheme="minorHAnsi" w:hAnsi="Times New Roman" w:cs="Times New Roman"/>
          <w:vertAlign w:val="superscript"/>
          <w:lang w:val="id-ID" w:eastAsia="en-US"/>
        </w:rPr>
        <w:fldChar w:fldCharType="separate"/>
      </w:r>
      <w:r w:rsidRPr="00907463">
        <w:rPr>
          <w:rFonts w:ascii="Times New Roman" w:eastAsiaTheme="minorHAnsi" w:hAnsi="Times New Roman" w:cs="Times New Roman"/>
          <w:noProof/>
          <w:lang w:val="id-ID" w:eastAsia="en-US"/>
        </w:rPr>
        <w:t>(Ansell &amp; Gash, 2007)</w:t>
      </w:r>
      <w:r w:rsidRPr="00907463">
        <w:rPr>
          <w:rFonts w:ascii="Times New Roman" w:eastAsiaTheme="minorHAnsi" w:hAnsi="Times New Roman" w:cs="Times New Roman"/>
          <w:lang w:val="en-ID" w:eastAsia="en-US"/>
        </w:rPr>
        <w:fldChar w:fldCharType="end"/>
      </w:r>
      <w:r w:rsidRPr="00907463">
        <w:rPr>
          <w:rFonts w:ascii="Times New Roman" w:eastAsiaTheme="minorHAnsi" w:hAnsi="Times New Roman" w:cs="Times New Roman"/>
          <w:lang w:val="id-ID" w:eastAsia="en-US"/>
        </w:rPr>
        <w:t>. Tahapan yang dilalui pada proses kolaborasi yaitu penentuan masalah, penentuan tujuan, dan pelaksanaan</w:t>
      </w:r>
      <w:r w:rsidRPr="00BD5759">
        <w:rPr>
          <w:rFonts w:ascii="Times New Roman" w:eastAsiaTheme="minorHAnsi" w:hAnsi="Times New Roman" w:cs="Times New Roman"/>
          <w:lang w:val="id-ID" w:eastAsia="en-US"/>
        </w:rPr>
        <w:t>.</w:t>
      </w:r>
    </w:p>
    <w:p w14:paraId="51A9B8A5" w14:textId="4D44916F" w:rsidR="00C60367" w:rsidRPr="00BD5759"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 xml:space="preserve">Nilai-nilai pegangan bagi aktor kolaborasi yaitu komunikasi, kepercayaan, komitmen pada proses, dan saling memahami. Aktor yang terlibat terdiri dari tiga pilar, yaitu negara, privat, dan masyarakat. Negara tidak lagi dominan. Komunitas masyarakat yang posisi haknya tersingkir, dipandang memiliki kapabilitas untuk melakukan inovasi kebijakan dan didorong untuk mengambil peran yang signifikan </w:t>
      </w:r>
      <w:r w:rsidRPr="00907463">
        <w:rPr>
          <w:rFonts w:ascii="Times New Roman" w:eastAsiaTheme="minorHAnsi" w:hAnsi="Times New Roman" w:cs="Times New Roman"/>
          <w:vertAlign w:val="superscript"/>
          <w:lang w:val="id-ID" w:eastAsia="en-US"/>
        </w:rPr>
        <w:fldChar w:fldCharType="begin" w:fldLock="1"/>
      </w:r>
      <w:r w:rsidRPr="00907463">
        <w:rPr>
          <w:rFonts w:ascii="Times New Roman" w:eastAsiaTheme="minorHAnsi" w:hAnsi="Times New Roman" w:cs="Times New Roman"/>
          <w:lang w:val="id-ID" w:eastAsia="en-US"/>
        </w:rPr>
        <w:instrText>ADDIN CSL_CITATION {"citationItems":[{"id":"ITEM-1","itemData":{"DOI":"10.1016/j.jenvman.2012.07.032","ISSN":"03014797","PMID":"22898708","abstract":"The challenges of integrated, adaptive and ecosystem management are leading government agencies to adopt participatory modes of engagement. Collaborative governance is a form of participation in which stakeholders co-produce goals and strategies and share responsibilities and resources. We assess the potential and challenges of collaborative governance as a mechanism to provide an integrated, ecosystem approach to natural resource management, using red deer in Scotland as a case study. Collaborative Deer Management Groups offer a well-established example of a 'bridging organisation', intended to reduce costs and facilitate decision making and learning across institutions and scales. We examine who initiates collaborative processes and why, what roles different actors adopt and how these factors influence the outcomes, particularly at a time of changing values, management and legislative priorities. Our findings demonstrate the need for careful consideration of where and how shared responsibility might be best implemented and sustained as state agencies often remain key to the process, despite the partnership intention. Differing interpretations between agencies and landowners of the degree of autonomy and division of responsibilities involved in 'collaboration' can create tension, while the diversity of landowner priorities brings additional challenges for defining shared goals in red deer management and in other cases. Effective maintenance depends on appropriate role allocation and adoption of responsibilities, definition of convergent values and goals, and establishing communication and trust in institutional networks. Options that may help private stakeholders offset the costs of accepting responsibility for delivering public benefits need to be explicitly addressed to build capacity and support adaptation. This study indicates that collaborative governance has the potential to help reconcile statutory obligations with stakeholder empowerment. The potential of collaboration to reduce the costs of sustainable management remains contentious and, in times of increasing resource constraints, the potential mismatch between resource investment and anticipated goals is likely to become a critical issue, which may challenge the goals and capacity of the state and existing managers. © 2012 Elsevier Ltd.","author":[{"dropping-particle":"","family":"Davies","given":"Althea L.","non-dropping-particle":"","parse-names":false,"suffix":""},{"dropping-particle":"","family":"White","given":"Rehema M.","non-dropping-particle":"","parse-names":false,"suffix":""}],"container-title":"Journal of Environmental Management","id":"ITEM-1","issued":{"date-parts":[["2012"]]},"page":"160-169","publisher":"Elsevier Ltd","title":"Collaboration in natural resource governance: Reconciling stakeholder expectations in deer management in Scotland","type":"article-journal","volume":"112"},"uris":["http://www.mendeley.com/documents/?uuid=1e6cced4-7cfc-4290-b0b2-d08046f0e808"]}],"mendeley":{"formattedCitation":"(Davies &amp; White, 2012)","plainTextFormattedCitation":"(Davies &amp; White, 2012)","previouslyFormattedCitation":"(Davies &amp; White, 2012)"},"properties":{"noteIndex":0},"schema":"https://github.com/citation-style-language/schema/raw/master/csl-citation.json"}</w:instrText>
      </w:r>
      <w:r w:rsidRPr="00907463">
        <w:rPr>
          <w:rFonts w:ascii="Times New Roman" w:eastAsiaTheme="minorHAnsi" w:hAnsi="Times New Roman" w:cs="Times New Roman"/>
          <w:vertAlign w:val="superscript"/>
          <w:lang w:val="id-ID" w:eastAsia="en-US"/>
        </w:rPr>
        <w:fldChar w:fldCharType="separate"/>
      </w:r>
      <w:r w:rsidRPr="00907463">
        <w:rPr>
          <w:rFonts w:ascii="Times New Roman" w:eastAsiaTheme="minorHAnsi" w:hAnsi="Times New Roman" w:cs="Times New Roman"/>
          <w:noProof/>
          <w:lang w:val="id-ID" w:eastAsia="en-US"/>
        </w:rPr>
        <w:t>(Davies &amp; White, 2012)</w:t>
      </w:r>
      <w:r w:rsidRPr="00907463">
        <w:rPr>
          <w:rFonts w:ascii="Times New Roman" w:eastAsiaTheme="minorHAnsi" w:hAnsi="Times New Roman" w:cs="Times New Roman"/>
          <w:lang w:val="en-ID" w:eastAsia="en-US"/>
        </w:rPr>
        <w:fldChar w:fldCharType="end"/>
      </w:r>
      <w:r w:rsidRPr="00BD5759">
        <w:rPr>
          <w:rFonts w:ascii="Times New Roman" w:eastAsiaTheme="minorHAnsi" w:hAnsi="Times New Roman" w:cs="Times New Roman"/>
          <w:lang w:val="id-ID" w:eastAsia="en-US"/>
        </w:rPr>
        <w:t>.</w:t>
      </w:r>
    </w:p>
    <w:p w14:paraId="01088E80" w14:textId="047C4D4B" w:rsidR="00C60367" w:rsidRPr="00BD5759"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 xml:space="preserve">Pemberdayaan menurut Ife (1995) didefinisikan sebagai upaya memberikan otonomi, wewenang, dan kepercayaan kepada setiap individu dalam suatu organisasi serta mendorong mereka untuk kreatif agar dapat menyelesaikan tugasnya sebaik mungkin (Muslih Faozanudin dkk., 2022). Pemberdayaan masyarakat mengandung makna, </w:t>
      </w:r>
      <w:r w:rsidRPr="00907463">
        <w:rPr>
          <w:rFonts w:ascii="Times New Roman" w:eastAsiaTheme="minorHAnsi" w:hAnsi="Times New Roman" w:cs="Times New Roman"/>
          <w:i/>
          <w:lang w:val="id-ID" w:eastAsia="en-US"/>
        </w:rPr>
        <w:t>pertama</w:t>
      </w:r>
      <w:r w:rsidRPr="00907463">
        <w:rPr>
          <w:rFonts w:ascii="Times New Roman" w:eastAsiaTheme="minorHAnsi" w:hAnsi="Times New Roman" w:cs="Times New Roman"/>
          <w:lang w:val="id-ID" w:eastAsia="en-US"/>
        </w:rPr>
        <w:t xml:space="preserve"> proses pemberdayaan yang menekankan pada proses memberikan atau mengalihkan sebagian kekuasaan, kekuatan, kemampuan kepada masyarakat sehingga menjadi berdaya. Proses ini dilengkapi dengan upaya membangun aset material guna mendukung kemandirian masyarakat melalui organisasi. </w:t>
      </w:r>
      <w:r w:rsidRPr="00907463">
        <w:rPr>
          <w:rFonts w:ascii="Times New Roman" w:eastAsiaTheme="minorHAnsi" w:hAnsi="Times New Roman" w:cs="Times New Roman"/>
          <w:i/>
          <w:lang w:val="id-ID" w:eastAsia="en-US"/>
        </w:rPr>
        <w:t>Kedua</w:t>
      </w:r>
      <w:r w:rsidRPr="00907463">
        <w:rPr>
          <w:rFonts w:ascii="Times New Roman" w:eastAsiaTheme="minorHAnsi" w:hAnsi="Times New Roman" w:cs="Times New Roman"/>
          <w:lang w:val="id-ID" w:eastAsia="en-US"/>
        </w:rPr>
        <w:t>, menekankan pada proses stimulasi, mendorong atau memotivasi individu agar mempunyai kemampuan dan keberdayaan dalam menentukan apa yang menjadi pilihan hidup</w:t>
      </w:r>
      <w:r w:rsidRPr="00BD5759">
        <w:rPr>
          <w:rFonts w:ascii="Times New Roman" w:eastAsiaTheme="minorHAnsi" w:hAnsi="Times New Roman" w:cs="Times New Roman"/>
          <w:lang w:val="id-ID" w:eastAsia="en-US"/>
        </w:rPr>
        <w:t>.</w:t>
      </w:r>
    </w:p>
    <w:p w14:paraId="4D606B5E" w14:textId="52966F83" w:rsidR="00C60367" w:rsidRPr="00BD5759"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Strategi pemberdayaan masyarakat adalah meningkatkan aspek penting dari masyarakat yaitu kemampuan masyarakat. Kemampuan dimaknai sebagai dua hal, pertama kemampuan masyarakat untuk menggugah kesadaran masyarakat dan usaha untuk mengembangkan nilai-nilai sosial yang berlaku melalui ruang-ruang publik. Kedua, kemampuan untuk melakukan hubungan atau komunikasi dengan entitas di luar mereka. Membangun relasi dalam rangka menyikapi kebijakan pemerintah untuk kebaikan masyarakat</w:t>
      </w:r>
      <w:r w:rsidRPr="00BD5759">
        <w:rPr>
          <w:rFonts w:ascii="Times New Roman" w:eastAsiaTheme="minorHAnsi" w:hAnsi="Times New Roman" w:cs="Times New Roman"/>
          <w:lang w:val="id-ID" w:eastAsia="en-US"/>
        </w:rPr>
        <w:t>.</w:t>
      </w:r>
    </w:p>
    <w:p w14:paraId="443C822D" w14:textId="605AD987" w:rsidR="00C60367" w:rsidRPr="00BD5759"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Menurut Soemodiningrat, konsep pemberdayaan masyarakat dapat ditinjau dari tiga sisi. Pertama adalah enabling atau menciptakan suasana atau iklim yang memungkinkan potensi masyarakat dapat berkembang. Merupakan upaya untuk membangun daya dengan mendorong, memotivasikan, dan membangkitkan kesadaran akan potensi yang dimilikinya serta berupaya untuk mengembangkannya. Kedua, empowering berarti memperkuat potensi atau daya yang dimiliki oleh masyarakat. Internalisasi nilai-nilai budaya modern, etos kerja keras, transparansi, dan akuntabilitas merupakan bagian pokok dari upaya pemberdayaan ini. Ketiga, pemberdayaan merupakan pemberian perlindungan. Pemberdayaan sebagai upaya untuk mencapai kesetaraan dalam sebuah persaingan yang sehat. Tidak ada dominasi dan eksploitasi yang kuat kepada yang lemah (Muslih Faozanudin dkk., 2022)</w:t>
      </w:r>
      <w:r w:rsidRPr="00BD5759">
        <w:rPr>
          <w:rFonts w:ascii="Times New Roman" w:eastAsiaTheme="minorHAnsi" w:hAnsi="Times New Roman" w:cs="Times New Roman"/>
          <w:lang w:val="id-ID" w:eastAsia="en-US"/>
        </w:rPr>
        <w:t>.</w:t>
      </w:r>
    </w:p>
    <w:p w14:paraId="725DCF7D" w14:textId="13EDDCB5"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 xml:space="preserve">Aktor yang terlibat dalam pemberdayaan adalah negara sebagai lembaga yang mengeluarkan kebijakan. Kemudian organisasi masyarakat yang bersifat lokal seperti lembaga swadaya masyarakat atau organisasi kemasyarakatan lainnya. Ketiga adalah lembaga masyarakat yang tumbuh dalam masyarakat itu sendiri seperti Paguyuban, PKK, </w:t>
      </w:r>
      <w:r w:rsidRPr="00907463">
        <w:rPr>
          <w:rFonts w:ascii="Times New Roman" w:eastAsiaTheme="minorHAnsi" w:hAnsi="Times New Roman" w:cs="Times New Roman"/>
          <w:lang w:val="id-ID" w:eastAsia="en-US"/>
        </w:rPr>
        <w:lastRenderedPageBreak/>
        <w:t xml:space="preserve">dan Karang Taruna. Organisasi ekonomi rakyat dalam bentuk koperasi (Muslih Faozanudin dkk., 2022). Sedangkan tahapan yang dilakukan dalam pemberdayaan masyarakat ada tujuh, yaitu </w:t>
      </w:r>
      <w:r w:rsidRPr="00907463">
        <w:rPr>
          <w:rFonts w:ascii="Times New Roman" w:eastAsiaTheme="minorHAnsi" w:hAnsi="Times New Roman" w:cs="Times New Roman"/>
          <w:vertAlign w:val="superscript"/>
          <w:lang w:val="id-ID" w:eastAsia="en-US"/>
        </w:rPr>
        <w:fldChar w:fldCharType="begin" w:fldLock="1"/>
      </w:r>
      <w:r w:rsidRPr="00907463">
        <w:rPr>
          <w:rFonts w:ascii="Times New Roman" w:eastAsiaTheme="minorHAnsi" w:hAnsi="Times New Roman" w:cs="Times New Roman"/>
          <w:lang w:val="id-ID" w:eastAsia="en-US"/>
        </w:rPr>
        <w:instrText>ADDIN CSL_CITATION {"citationItems":[{"id":"ITEM-1","itemData":{"ISBN":"6230201690","author":[{"dropping-particle":"","family":"Maryani","given":"Dedeh","non-dropping-particle":"","parse-names":false,"suffix":""},{"dropping-particle":"","family":"Nainggolan","given":"Ruth Roselin E","non-dropping-particle":"","parse-names":false,"suffix":""}],"id":"ITEM-1","issued":{"date-parts":[["2019"]]},"publisher":"Deepublish","title":"Pemberdayaan masyarakat","type":"book"},"uris":["http://www.mendeley.com/documents/?uuid=58813830-33c6-43bb-83c1-82d37f0bb0e6"]}],"mendeley":{"formattedCitation":"(Maryani &amp; Nainggolan, 2019)","plainTextFormattedCitation":"(Maryani &amp; Nainggolan, 2019)","previouslyFormattedCitation":"(Maryani &amp; Nainggolan, 2019)"},"properties":{"noteIndex":0},"schema":"https://github.com/citation-style-language/schema/raw/master/csl-citation.json"}</w:instrText>
      </w:r>
      <w:r w:rsidRPr="00907463">
        <w:rPr>
          <w:rFonts w:ascii="Times New Roman" w:eastAsiaTheme="minorHAnsi" w:hAnsi="Times New Roman" w:cs="Times New Roman"/>
          <w:vertAlign w:val="superscript"/>
          <w:lang w:val="id-ID" w:eastAsia="en-US"/>
        </w:rPr>
        <w:fldChar w:fldCharType="separate"/>
      </w:r>
      <w:r w:rsidRPr="00907463">
        <w:rPr>
          <w:rFonts w:ascii="Times New Roman" w:eastAsiaTheme="minorHAnsi" w:hAnsi="Times New Roman" w:cs="Times New Roman"/>
          <w:noProof/>
          <w:lang w:val="id-ID" w:eastAsia="en-US"/>
        </w:rPr>
        <w:t>(Maryani &amp; Nainggolan, 2019)</w:t>
      </w:r>
      <w:r w:rsidRPr="00907463">
        <w:rPr>
          <w:rFonts w:ascii="Times New Roman" w:eastAsiaTheme="minorHAnsi" w:hAnsi="Times New Roman" w:cs="Times New Roman"/>
          <w:lang w:val="en-ID" w:eastAsia="en-US"/>
        </w:rPr>
        <w:fldChar w:fldCharType="end"/>
      </w:r>
      <w:r w:rsidRPr="00907463">
        <w:rPr>
          <w:rFonts w:ascii="Times New Roman" w:eastAsiaTheme="minorHAnsi" w:hAnsi="Times New Roman" w:cs="Times New Roman"/>
          <w:lang w:val="id-ID" w:eastAsia="en-US"/>
        </w:rPr>
        <w:t>:</w:t>
      </w:r>
    </w:p>
    <w:p w14:paraId="75EBADAD" w14:textId="77777777" w:rsidR="00C60367" w:rsidRPr="00907463" w:rsidRDefault="00C60367" w:rsidP="004D5DD4">
      <w:pPr>
        <w:numPr>
          <w:ilvl w:val="0"/>
          <w:numId w:val="1"/>
        </w:numPr>
        <w:spacing w:after="0" w:line="240" w:lineRule="auto"/>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Tahap persiapan</w:t>
      </w:r>
    </w:p>
    <w:p w14:paraId="6D72B377" w14:textId="77777777" w:rsidR="00C60367" w:rsidRPr="00907463" w:rsidRDefault="00C60367" w:rsidP="004D5DD4">
      <w:pPr>
        <w:spacing w:after="0" w:line="240" w:lineRule="auto"/>
        <w:ind w:left="709"/>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Penyediaan sumber daya manusia dan kondisi lapangan sebagai ojek pemberdayaan.</w:t>
      </w:r>
    </w:p>
    <w:p w14:paraId="645BD28A" w14:textId="77777777" w:rsidR="00C60367" w:rsidRPr="00907463" w:rsidRDefault="00C60367" w:rsidP="004D5DD4">
      <w:pPr>
        <w:numPr>
          <w:ilvl w:val="0"/>
          <w:numId w:val="1"/>
        </w:numPr>
        <w:spacing w:after="0" w:line="240" w:lineRule="auto"/>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Tahap pengkajian (</w:t>
      </w:r>
      <w:r w:rsidRPr="00907463">
        <w:rPr>
          <w:rFonts w:ascii="Times New Roman" w:eastAsiaTheme="minorHAnsi" w:hAnsi="Times New Roman" w:cs="Times New Roman"/>
          <w:i/>
          <w:iCs/>
          <w:lang w:val="id-ID" w:eastAsia="en-US"/>
        </w:rPr>
        <w:t>assessment</w:t>
      </w:r>
      <w:r w:rsidRPr="00907463">
        <w:rPr>
          <w:rFonts w:ascii="Times New Roman" w:eastAsiaTheme="minorHAnsi" w:hAnsi="Times New Roman" w:cs="Times New Roman"/>
          <w:lang w:val="id-ID" w:eastAsia="en-US"/>
        </w:rPr>
        <w:t>)</w:t>
      </w:r>
    </w:p>
    <w:p w14:paraId="31A8F125" w14:textId="77777777" w:rsidR="00C60367" w:rsidRPr="00907463"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Identifikasi masalah kebutuhan dan sumber daya klien.</w:t>
      </w:r>
    </w:p>
    <w:p w14:paraId="3937D954" w14:textId="77777777" w:rsidR="00C60367" w:rsidRPr="00907463" w:rsidRDefault="00C60367" w:rsidP="004D5DD4">
      <w:pPr>
        <w:numPr>
          <w:ilvl w:val="0"/>
          <w:numId w:val="1"/>
        </w:numPr>
        <w:spacing w:after="0" w:line="240" w:lineRule="auto"/>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Tahap perencanaan alternatif program dan kegiatan</w:t>
      </w:r>
    </w:p>
    <w:p w14:paraId="2E9950E5" w14:textId="77777777" w:rsidR="00C60367" w:rsidRPr="00907463" w:rsidRDefault="00C60367" w:rsidP="004D5DD4">
      <w:pPr>
        <w:spacing w:after="0" w:line="240" w:lineRule="auto"/>
        <w:ind w:left="709"/>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Pelibatan masyarakat untuk mencari kerangka kerja alternatif program dan kegiatan.</w:t>
      </w:r>
    </w:p>
    <w:p w14:paraId="4AC131D0" w14:textId="77777777" w:rsidR="00C60367" w:rsidRPr="00907463" w:rsidRDefault="00C60367" w:rsidP="004D5DD4">
      <w:pPr>
        <w:numPr>
          <w:ilvl w:val="0"/>
          <w:numId w:val="1"/>
        </w:numPr>
        <w:spacing w:after="0" w:line="240" w:lineRule="auto"/>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Tahap pemformalisasi rencana aksi</w:t>
      </w:r>
    </w:p>
    <w:p w14:paraId="70A0E37C" w14:textId="77777777" w:rsidR="00C60367" w:rsidRPr="00907463"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Rumusan program dan kegiatan diformalkan ke dalam bentuk tertulis.</w:t>
      </w:r>
    </w:p>
    <w:p w14:paraId="6743ED9A" w14:textId="77777777" w:rsidR="00C60367" w:rsidRPr="00907463" w:rsidRDefault="00C60367" w:rsidP="004D5DD4">
      <w:pPr>
        <w:numPr>
          <w:ilvl w:val="0"/>
          <w:numId w:val="1"/>
        </w:numPr>
        <w:spacing w:after="0" w:line="240" w:lineRule="auto"/>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Tahap implementasi program dan kegiatan</w:t>
      </w:r>
    </w:p>
    <w:p w14:paraId="33FF19F8" w14:textId="77777777" w:rsidR="00C60367" w:rsidRPr="00907463" w:rsidRDefault="00C60367" w:rsidP="004D5DD4">
      <w:pPr>
        <w:spacing w:after="0" w:line="240" w:lineRule="auto"/>
        <w:ind w:left="709"/>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Masyarakat harus memahami maksud, tujuan dan sasaran program untuk menghindari kendala dalam implementasi program.</w:t>
      </w:r>
    </w:p>
    <w:p w14:paraId="5C93FD95" w14:textId="77777777" w:rsidR="00C60367" w:rsidRPr="00907463" w:rsidRDefault="00C60367" w:rsidP="004D5DD4">
      <w:pPr>
        <w:numPr>
          <w:ilvl w:val="0"/>
          <w:numId w:val="1"/>
        </w:numPr>
        <w:spacing w:after="0" w:line="240" w:lineRule="auto"/>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Tahap evaluasi</w:t>
      </w:r>
    </w:p>
    <w:p w14:paraId="347429B3" w14:textId="77777777" w:rsidR="00C60367" w:rsidRPr="00907463" w:rsidRDefault="00C60367" w:rsidP="004D5DD4">
      <w:pPr>
        <w:spacing w:after="0" w:line="240" w:lineRule="auto"/>
        <w:ind w:firstLine="720"/>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Pengawasan dari warga dan petugas program pemberdayaan.</w:t>
      </w:r>
    </w:p>
    <w:p w14:paraId="6770996F" w14:textId="77777777" w:rsidR="00C60367" w:rsidRPr="00907463" w:rsidRDefault="00C60367" w:rsidP="004D5DD4">
      <w:pPr>
        <w:numPr>
          <w:ilvl w:val="0"/>
          <w:numId w:val="1"/>
        </w:numPr>
        <w:spacing w:after="0" w:line="240" w:lineRule="auto"/>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Tahap terminasi</w:t>
      </w:r>
    </w:p>
    <w:p w14:paraId="6C939C9A" w14:textId="65BB1642" w:rsidR="00C60367" w:rsidRDefault="00C60367" w:rsidP="004D5DD4">
      <w:pPr>
        <w:spacing w:after="0" w:line="240" w:lineRule="auto"/>
        <w:ind w:left="709"/>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Tahap final dan pengakhiran hubungan formal di antara para aktor pemberdayaan.</w:t>
      </w:r>
    </w:p>
    <w:p w14:paraId="6EED842C" w14:textId="77777777" w:rsidR="00C60367" w:rsidRDefault="00C60367" w:rsidP="00C60367">
      <w:pPr>
        <w:spacing w:after="0"/>
        <w:ind w:left="709"/>
        <w:jc w:val="both"/>
        <w:rPr>
          <w:rFonts w:ascii="Times New Roman" w:eastAsiaTheme="minorHAnsi" w:hAnsi="Times New Roman" w:cs="Times New Roman"/>
          <w:lang w:val="id-ID" w:eastAsia="en-US"/>
        </w:rPr>
      </w:pPr>
    </w:p>
    <w:p w14:paraId="0508D562" w14:textId="3EEEB1DF" w:rsidR="00C60367" w:rsidRDefault="00C60367" w:rsidP="004D5DD4">
      <w:pPr>
        <w:spacing w:after="0" w:line="240" w:lineRule="auto"/>
        <w:ind w:firstLine="709"/>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 xml:space="preserve">Modal sosial muncul karena manusia sebagai makhluk sosial tidak bisa memenuhi kebutuhan secara individualistik. Manusia berinteraksi dan membutuhkan orang lain dalam pemenuhan kebutuhannya. Menurut Hanifan modal sosial termasuk kemauan baik, rasa bersahabat, saling simpati, serta hubungan sosial dan kerjasama yang erat antara individu dan keluarga yang membentuk suatu kelompok sosial </w:t>
      </w:r>
      <w:r w:rsidRPr="00907463">
        <w:rPr>
          <w:rFonts w:ascii="Times New Roman" w:eastAsiaTheme="minorHAnsi" w:hAnsi="Times New Roman" w:cs="Times New Roman"/>
          <w:vertAlign w:val="superscript"/>
          <w:lang w:val="id-ID" w:eastAsia="en-US"/>
        </w:rPr>
        <w:fldChar w:fldCharType="begin" w:fldLock="1"/>
      </w:r>
      <w:r w:rsidRPr="00907463">
        <w:rPr>
          <w:rFonts w:ascii="Times New Roman" w:eastAsiaTheme="minorHAnsi" w:hAnsi="Times New Roman" w:cs="Times New Roman"/>
          <w:lang w:val="id-ID" w:eastAsia="en-US"/>
        </w:rPr>
        <w:instrText>ADDIN CSL_CITATION {"citationItems":[{"id":"ITEM-1","itemData":{"abstract":"This article is aimed at explaining the development of social capital theory and its contribution in addressing social problems. Despite its first introduction in the early 20th century by Lyda Judson Hanifan the term social capital has gained prominence in social science only since its reintroduction by James Coleman in 1988 and through the subsequent work of Robert Putnam. Social capital defined by Putnam as features of social organization such as networks, trust and norms of reciprocity that facilitate cooperation for mutual benefits, has inspired many social scientists to conduct studies on the conditions of social capital in various communities in many countries. Interestingly, some of the studies have contributed to the enrichment of the social capital theory by introducing new related concepts and methods of measurement. On the practical side social capital has gained wider recognition by international aid agencies, especially the World Bank, and has been used as a powerful concept for poverty alleviation through people empowerment in many developing countries, including Indonesia. Tulisan","author":[{"dropping-particle":"","family":"Syahra","given":"Rusydi","non-dropping-particle":"","parse-names":false,"suffix":""}],"container-title":"Jurnal Masyarakat dan Budaya","id":"ITEM-1","issue":"1","issued":{"date-parts":[["2003"]]},"page":"1-22","title":"Modal sosial: Konsep dan aplikasi","type":"article-journal","volume":"5"},"uris":["http://www.mendeley.com/documents/?uuid=fc400df5-d899-4e3a-b426-d387819989b8"]}],"mendeley":{"formattedCitation":"(Syahra, 2003)","plainTextFormattedCitation":"(Syahra, 2003)","previouslyFormattedCitation":"(Syahra, 2003)"},"properties":{"noteIndex":0},"schema":"https://github.com/citation-style-language/schema/raw/master/csl-citation.json"}</w:instrText>
      </w:r>
      <w:r w:rsidRPr="00907463">
        <w:rPr>
          <w:rFonts w:ascii="Times New Roman" w:eastAsiaTheme="minorHAnsi" w:hAnsi="Times New Roman" w:cs="Times New Roman"/>
          <w:vertAlign w:val="superscript"/>
          <w:lang w:val="id-ID" w:eastAsia="en-US"/>
        </w:rPr>
        <w:fldChar w:fldCharType="separate"/>
      </w:r>
      <w:r w:rsidRPr="00907463">
        <w:rPr>
          <w:rFonts w:ascii="Times New Roman" w:eastAsiaTheme="minorHAnsi" w:hAnsi="Times New Roman" w:cs="Times New Roman"/>
          <w:bCs/>
          <w:noProof/>
          <w:lang w:val="id-ID" w:eastAsia="en-US"/>
        </w:rPr>
        <w:t>(Syahra, 2003)</w:t>
      </w:r>
      <w:r w:rsidRPr="00907463">
        <w:rPr>
          <w:rFonts w:ascii="Times New Roman" w:eastAsiaTheme="minorHAnsi" w:hAnsi="Times New Roman" w:cs="Times New Roman"/>
          <w:lang w:eastAsia="en-US"/>
        </w:rPr>
        <w:fldChar w:fldCharType="end"/>
      </w:r>
      <w:r w:rsidRPr="00907463">
        <w:rPr>
          <w:rFonts w:ascii="Times New Roman" w:eastAsiaTheme="minorHAnsi" w:hAnsi="Times New Roman" w:cs="Times New Roman"/>
          <w:lang w:val="id-ID" w:eastAsia="en-US"/>
        </w:rPr>
        <w:t>.</w:t>
      </w:r>
    </w:p>
    <w:p w14:paraId="171F3991" w14:textId="3A7C3999" w:rsidR="00C60367" w:rsidRPr="00BD5759" w:rsidRDefault="00C60367" w:rsidP="004D5DD4">
      <w:pPr>
        <w:spacing w:after="0" w:line="240" w:lineRule="auto"/>
        <w:ind w:firstLine="709"/>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Coleman dalam sebuah tulisan yang berjudul “</w:t>
      </w:r>
      <w:r w:rsidRPr="00907463">
        <w:rPr>
          <w:rFonts w:ascii="Times New Roman" w:eastAsiaTheme="minorHAnsi" w:hAnsi="Times New Roman" w:cs="Times New Roman"/>
          <w:i/>
          <w:iCs/>
          <w:lang w:val="id-ID" w:eastAsia="en-US"/>
        </w:rPr>
        <w:t>Social Capital in the Creation of Human Capital</w:t>
      </w:r>
      <w:r w:rsidRPr="00907463">
        <w:rPr>
          <w:rFonts w:ascii="Times New Roman" w:eastAsiaTheme="minorHAnsi" w:hAnsi="Times New Roman" w:cs="Times New Roman"/>
          <w:lang w:val="id-ID" w:eastAsia="en-US"/>
        </w:rPr>
        <w:t>” (1988) menuliskan bahwa modal sosial ditentukan oleh fungsinya. Pertama, modal sosial mencakup sejumlah aspek dari struktur sosial, dan yang kedua modal sosial memberi kemudahan bagi orang untuk melakukan sesuatu dalam kerangka struktur sosial tersebut. Struktur digunakan untuk membentuk jaringan sosial sebagai wadah nilai-nilai hak dan kewajiban serta sanksi yang mengikat anggotanya. Sedangkan organisasi sosial yang terbentuk digunakan sebagai sarana untuk mencapai tujuan. Coleman mengidentifikasi pilar utama dalam modal sosial, pertama kewajiban dan harapan yang timbul dari rasa kepercayaan dalam lingkungan sosial. Kedua, pentingnya arus informasi yang lancar di dalam struktur sosial untuk mendorong berkembangnya kegiatan masyarakat. Ketiga, norma-norma yang harus ditaati dengan sanksi yang jelas dan efektif</w:t>
      </w:r>
      <w:r w:rsidRPr="00BD5759">
        <w:rPr>
          <w:rFonts w:ascii="Times New Roman" w:eastAsiaTheme="minorHAnsi" w:hAnsi="Times New Roman" w:cs="Times New Roman"/>
          <w:lang w:val="id-ID" w:eastAsia="en-US"/>
        </w:rPr>
        <w:t>.</w:t>
      </w:r>
    </w:p>
    <w:p w14:paraId="4ED9EA2E" w14:textId="18F9D921" w:rsidR="00C60367" w:rsidRPr="00BD5759" w:rsidRDefault="00C60367" w:rsidP="004D5DD4">
      <w:pPr>
        <w:spacing w:after="0" w:line="240" w:lineRule="auto"/>
        <w:ind w:firstLine="709"/>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 xml:space="preserve">Putnam mendefinisikan modal sosial yaitu ciri-ciri kehidupan sosial-jaringan, norma, serta rasa percaya (trust) yang bisa membuat semua warga masyarakat tersebut bertindak lebih efektif guna mencapai tujuan tertentu </w:t>
      </w:r>
      <w:r w:rsidRPr="00907463">
        <w:rPr>
          <w:rFonts w:ascii="Times New Roman" w:eastAsiaTheme="minorHAnsi" w:hAnsi="Times New Roman" w:cs="Times New Roman"/>
          <w:vertAlign w:val="superscript"/>
          <w:lang w:val="id-ID" w:eastAsia="en-US"/>
        </w:rPr>
        <w:fldChar w:fldCharType="begin" w:fldLock="1"/>
      </w:r>
      <w:r w:rsidRPr="00907463">
        <w:rPr>
          <w:rFonts w:ascii="Times New Roman" w:eastAsiaTheme="minorHAnsi" w:hAnsi="Times New Roman" w:cs="Times New Roman"/>
          <w:lang w:val="id-ID" w:eastAsia="en-US"/>
        </w:rPr>
        <w:instrText>ADDIN CSL_CITATION {"citationItems":[{"id":"ITEM-1","itemData":{"DOI":"10.22146/jps.v6i1.47463","ISSN":"2252-570X","abstract":"Modal sosial diasumsikan sebagai alternatif bentuk modalitas lain. Secara teoritis ada perdebatan mengenai modal sosial bermuara kepada relasi-relasi sosial. Perdebatan itu berkenaan dengan konseptualisasi modal sosial sebagai kapital konkrit dimana individu atau kelompok mampu mendayagunakan relasi-relasi sosial mencakup nilai-norma, jaringan sosial dan kepercayaan untuk memperoleh keuntungan ekonomi dan manfaat sosial. Menggunakan pendekatan kualitatif dengan metode studi literatur, artikel ini bertujuan untuk menjelaskan modal sosial sebagai konsep teoritis. Pemaparan studi menunjukkan adanya hubungan antara modal sosial dengan inklusivitas dan pemberdayaan masyarakat terutama dalam konteks pembangunan inklusif berkelanjutan. Artikel ini menyimpulkan bahwa konsep modal sosial berfungsi sebagai kerangka berpikir yang bermanfaat dalam keberhasilan pembangunan dan perumusan kebijakan.","author":[{"dropping-particle":"","family":"Fathy","given":"Rusydan","non-dropping-particle":"","parse-names":false,"suffix":""}],"container-title":"Jurnal Pemikiran Sosiologi","id":"ITEM-1","issue":"1","issued":{"date-parts":[["2019"]]},"page":"1","title":"Modal Sosial: Konsep, Inklusivitas dan Pemberdayaan Masyarakat","type":"article-journal","volume":"6"},"uris":["http://www.mendeley.com/documents/?uuid=1ffbbad4-a531-4cc1-9e97-b34ec58e41cb"]}],"mendeley":{"formattedCitation":"(Fathy, 2019)","plainTextFormattedCitation":"(Fathy, 2019)","previouslyFormattedCitation":"(Fathy, 2019)"},"properties":{"noteIndex":0},"schema":"https://github.com/citation-style-language/schema/raw/master/csl-citation.json"}</w:instrText>
      </w:r>
      <w:r w:rsidRPr="00907463">
        <w:rPr>
          <w:rFonts w:ascii="Times New Roman" w:eastAsiaTheme="minorHAnsi" w:hAnsi="Times New Roman" w:cs="Times New Roman"/>
          <w:vertAlign w:val="superscript"/>
          <w:lang w:val="id-ID" w:eastAsia="en-US"/>
        </w:rPr>
        <w:fldChar w:fldCharType="separate"/>
      </w:r>
      <w:r w:rsidRPr="00907463">
        <w:rPr>
          <w:rFonts w:ascii="Times New Roman" w:eastAsiaTheme="minorHAnsi" w:hAnsi="Times New Roman" w:cs="Times New Roman"/>
          <w:bCs/>
          <w:noProof/>
          <w:lang w:val="id-ID" w:eastAsia="en-US"/>
        </w:rPr>
        <w:t>(Fathy, 2019)</w:t>
      </w:r>
      <w:r w:rsidRPr="00907463">
        <w:rPr>
          <w:rFonts w:ascii="Times New Roman" w:eastAsiaTheme="minorHAnsi" w:hAnsi="Times New Roman" w:cs="Times New Roman"/>
          <w:lang w:val="en-ID" w:eastAsia="en-US"/>
        </w:rPr>
        <w:fldChar w:fldCharType="end"/>
      </w:r>
      <w:r w:rsidRPr="00907463">
        <w:rPr>
          <w:rFonts w:ascii="Times New Roman" w:eastAsiaTheme="minorHAnsi" w:hAnsi="Times New Roman" w:cs="Times New Roman"/>
          <w:lang w:val="id-ID" w:eastAsia="en-US"/>
        </w:rPr>
        <w:t xml:space="preserve">. Asosiasi dalam masyarakat melibatkan hubungan tatap muka. </w:t>
      </w:r>
      <w:r w:rsidRPr="00907463">
        <w:rPr>
          <w:rFonts w:ascii="Times New Roman" w:eastAsiaTheme="minorHAnsi" w:hAnsi="Times New Roman" w:cs="Times New Roman"/>
          <w:i/>
          <w:lang w:val="id-ID" w:eastAsia="en-US"/>
        </w:rPr>
        <w:t>Trust</w:t>
      </w:r>
      <w:r w:rsidRPr="00907463">
        <w:rPr>
          <w:rFonts w:ascii="Times New Roman" w:eastAsiaTheme="minorHAnsi" w:hAnsi="Times New Roman" w:cs="Times New Roman"/>
          <w:lang w:val="id-ID" w:eastAsia="en-US"/>
        </w:rPr>
        <w:t>,</w:t>
      </w:r>
      <w:r w:rsidRPr="00907463">
        <w:rPr>
          <w:rFonts w:ascii="Times New Roman" w:eastAsiaTheme="minorHAnsi" w:hAnsi="Times New Roman" w:cs="Times New Roman"/>
          <w:i/>
          <w:lang w:val="id-ID" w:eastAsia="en-US"/>
        </w:rPr>
        <w:t xml:space="preserve"> </w:t>
      </w:r>
      <w:r w:rsidRPr="00907463">
        <w:rPr>
          <w:rFonts w:ascii="Times New Roman" w:eastAsiaTheme="minorHAnsi" w:hAnsi="Times New Roman" w:cs="Times New Roman"/>
          <w:lang w:val="id-ID" w:eastAsia="en-US"/>
        </w:rPr>
        <w:t xml:space="preserve">norma pertukaran, dan kapasitas untuk </w:t>
      </w:r>
      <w:r w:rsidRPr="00907463">
        <w:rPr>
          <w:rFonts w:ascii="Times New Roman" w:eastAsiaTheme="minorHAnsi" w:hAnsi="Times New Roman" w:cs="Times New Roman"/>
          <w:i/>
          <w:lang w:val="id-ID" w:eastAsia="en-US"/>
        </w:rPr>
        <w:t>civic engagement</w:t>
      </w:r>
      <w:r w:rsidRPr="00907463">
        <w:rPr>
          <w:rFonts w:ascii="Times New Roman" w:eastAsiaTheme="minorHAnsi" w:hAnsi="Times New Roman" w:cs="Times New Roman"/>
          <w:lang w:val="id-ID" w:eastAsia="en-US"/>
        </w:rPr>
        <w:t xml:space="preserve"> dihasilkan melalui hubungan horizontal antara individu masyarakat yang semuanya menjadi substansi dalam masyarakat yang demokratis. Selain itu Putnam juga menjelaskan modal sosial sebagai: </w:t>
      </w:r>
      <w:r w:rsidRPr="00907463">
        <w:rPr>
          <w:rFonts w:ascii="Times New Roman" w:eastAsiaTheme="minorHAnsi" w:hAnsi="Times New Roman" w:cs="Times New Roman"/>
          <w:i/>
          <w:lang w:val="id-ID" w:eastAsia="en-US"/>
        </w:rPr>
        <w:t>pertama</w:t>
      </w:r>
      <w:r w:rsidRPr="00907463">
        <w:rPr>
          <w:rFonts w:ascii="Times New Roman" w:eastAsiaTheme="minorHAnsi" w:hAnsi="Times New Roman" w:cs="Times New Roman"/>
          <w:lang w:val="id-ID" w:eastAsia="en-US"/>
        </w:rPr>
        <w:t xml:space="preserve">, modal sosial diubah dari sesuatu yang didapat oleh individu kepada sesuatu yang dimiliki (atau tidak dimiliki) oleh individu lain. </w:t>
      </w:r>
      <w:r w:rsidRPr="00907463">
        <w:rPr>
          <w:rFonts w:ascii="Times New Roman" w:eastAsiaTheme="minorHAnsi" w:hAnsi="Times New Roman" w:cs="Times New Roman"/>
          <w:i/>
          <w:lang w:val="id-ID" w:eastAsia="en-US"/>
        </w:rPr>
        <w:t>Kedua</w:t>
      </w:r>
      <w:r w:rsidRPr="00907463">
        <w:rPr>
          <w:rFonts w:ascii="Times New Roman" w:eastAsiaTheme="minorHAnsi" w:hAnsi="Times New Roman" w:cs="Times New Roman"/>
          <w:lang w:val="id-ID" w:eastAsia="en-US"/>
        </w:rPr>
        <w:t xml:space="preserve">, modal sosial bisa dipertukarkan dengan masyarakat sipil atau modal sosial dihasilkan dari asosiasi sukarela, organisasi non-pemerintah yang berdasarkan kepercayaan. </w:t>
      </w:r>
      <w:r w:rsidRPr="00907463">
        <w:rPr>
          <w:rFonts w:ascii="Times New Roman" w:eastAsiaTheme="minorHAnsi" w:hAnsi="Times New Roman" w:cs="Times New Roman"/>
          <w:i/>
          <w:lang w:val="id-ID" w:eastAsia="en-US"/>
        </w:rPr>
        <w:t>Ketiga</w:t>
      </w:r>
      <w:r w:rsidRPr="00907463">
        <w:rPr>
          <w:rFonts w:ascii="Times New Roman" w:eastAsiaTheme="minorHAnsi" w:hAnsi="Times New Roman" w:cs="Times New Roman"/>
          <w:lang w:val="id-ID" w:eastAsia="en-US"/>
        </w:rPr>
        <w:t>, modal sosial menjadi sebuah hal yang secara normatif baik dan diberikan untuk mempromosikan pemerintah yang baik dan demokratis, dan menghasilkan keberlanjutan pertumbuhan ekonomi</w:t>
      </w:r>
      <w:r w:rsidRPr="00BD5759">
        <w:rPr>
          <w:rFonts w:ascii="Times New Roman" w:eastAsiaTheme="minorHAnsi" w:hAnsi="Times New Roman" w:cs="Times New Roman"/>
          <w:lang w:val="id-ID" w:eastAsia="en-US"/>
        </w:rPr>
        <w:t>.</w:t>
      </w:r>
    </w:p>
    <w:p w14:paraId="0DB50430" w14:textId="746E5E28" w:rsidR="00C60367" w:rsidRPr="00297F1B" w:rsidRDefault="00C60367" w:rsidP="00297F1B">
      <w:pPr>
        <w:pStyle w:val="ListParagraph"/>
        <w:numPr>
          <w:ilvl w:val="0"/>
          <w:numId w:val="6"/>
        </w:numPr>
        <w:spacing w:after="0"/>
        <w:ind w:left="426" w:hanging="426"/>
        <w:jc w:val="both"/>
        <w:rPr>
          <w:rFonts w:ascii="Times New Roman" w:eastAsiaTheme="minorHAnsi" w:hAnsi="Times New Roman" w:cs="Times New Roman"/>
          <w:b/>
          <w:bCs/>
          <w:lang w:val="id-ID" w:eastAsia="en-US"/>
        </w:rPr>
      </w:pPr>
      <w:r w:rsidRPr="00297F1B">
        <w:rPr>
          <w:rFonts w:ascii="Times New Roman" w:eastAsiaTheme="minorHAnsi" w:hAnsi="Times New Roman" w:cs="Times New Roman"/>
          <w:b/>
          <w:bCs/>
          <w:lang w:val="id-ID" w:eastAsia="en-US"/>
        </w:rPr>
        <w:lastRenderedPageBreak/>
        <w:t>Kebijakan Rehabilitasi</w:t>
      </w:r>
    </w:p>
    <w:p w14:paraId="3015B03E" w14:textId="6712C7D4" w:rsidR="00C60367" w:rsidRDefault="00C60367" w:rsidP="004D5DD4">
      <w:pPr>
        <w:spacing w:after="0" w:line="240" w:lineRule="auto"/>
        <w:ind w:firstLine="709"/>
        <w:jc w:val="both"/>
        <w:rPr>
          <w:rFonts w:ascii="Times New Roman" w:eastAsiaTheme="minorHAnsi" w:hAnsi="Times New Roman" w:cs="Times New Roman"/>
          <w:lang w:val="id-ID" w:eastAsia="en-US"/>
        </w:rPr>
      </w:pPr>
      <w:r w:rsidRPr="00907463">
        <w:rPr>
          <w:rFonts w:ascii="Times New Roman" w:eastAsiaTheme="minorHAnsi" w:hAnsi="Times New Roman" w:cs="Times New Roman"/>
          <w:lang w:val="id-ID" w:eastAsia="en-US"/>
        </w:rPr>
        <w:t>Dalam Undang-Undang Nomr 35 Tahun 2009 rehabilitasi terbagi ke dalam 2 (dua) lingkup. Rehabilitasi medis merupakan proses kegiatan pengobatan secara terpadu untuk membebaskan pecandu dari ketergantungan narkoba. Rehabilitasi sosial adalah suatu proses kegiatan pemulihan secara terpadu, baik fisik, mental maupun sosial, agar bekas pecandu narkotika dapat kembali melaksanakan fungsi dalam kehidupan masyarakat.</w:t>
      </w:r>
    </w:p>
    <w:p w14:paraId="5D7A5AB5" w14:textId="2C35B25B" w:rsidR="00C60367" w:rsidRDefault="00C60367" w:rsidP="004D5DD4">
      <w:pPr>
        <w:spacing w:after="0" w:line="240" w:lineRule="auto"/>
        <w:ind w:firstLine="709"/>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Kebijakan rehabilitasi dalam rangka penanganan penyalahguna narkoba, pemerintah menggunakan konsep dekriminalisasi. Sanksi rehabilitasi bagi penyalahguna narkoba dijadikan sebagai salah satu alternatif penghukuman dibandingkan kurungan. Kampanye massif telah dilakukan oleh pemerintah pada medio 2010an dengan jargon Gerakan Rehabilitasi 100 ribu pengguna narkoba dengan tujuan untuk menjaring seluas-luasnya para penyalahguna narkoba guna mendapatkan akses rehabilitasi.</w:t>
      </w:r>
    </w:p>
    <w:p w14:paraId="70F553D0" w14:textId="01BE14EF" w:rsidR="00C60367" w:rsidRDefault="00C60367" w:rsidP="004D5DD4">
      <w:pPr>
        <w:spacing w:after="0" w:line="240" w:lineRule="auto"/>
        <w:ind w:firstLine="709"/>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 xml:space="preserve">Kebijakan rehabilitasi penyalahguna narkoba sebagai substitusi bentuk pemidanaan telah banyak mewarnai kebijakan penanggulangan narkoba di berbagai negara di dunia </w:t>
      </w:r>
      <w:r w:rsidRPr="001659B5">
        <w:rPr>
          <w:rFonts w:ascii="Times New Roman" w:eastAsiaTheme="minorHAnsi" w:hAnsi="Times New Roman" w:cs="Times New Roman"/>
          <w:lang w:val="id-ID" w:eastAsia="en-US"/>
        </w:rPr>
        <w:fldChar w:fldCharType="begin" w:fldLock="1"/>
      </w:r>
      <w:r w:rsidRPr="001659B5">
        <w:rPr>
          <w:rFonts w:ascii="Times New Roman" w:eastAsiaTheme="minorHAnsi" w:hAnsi="Times New Roman" w:cs="Times New Roman"/>
          <w:lang w:val="id-ID" w:eastAsia="en-US"/>
        </w:rPr>
        <w:instrText>ADDIN CSL_CITATION {"citationItems":[{"id":"ITEM-1","itemData":{"DOI":"10.33007/inf.v2i3.339","ISSN":"24428094","abstract":"Fenomena penyalahgunaan narkotika tidak mengenal batas usia, pendidikan, pekerjaan, dan dimana mereka tinggal. Penyalahgunaan narkotika tidak hanya berdampak pada kesehatan manusia, tetapi telah merugikan ekonomi keluarga, masyarakat bahkan perekonomian suatu negara. Pendekatan hukum (pidana) bagi pecandu dan korban selama ini belum mampu menekan laju peningkatan jumlah korban narkotika, bahkan pemenjaraan telah telah berdampak buruk pada perekonomian keluarga, kesehatan (penularan penyakit) yang justru meningkatkan angka kemiskinan. Kondisi ini telah dijadikan sebagai dasar bahwa pecandu perlu didekati sebagai korban yang membutuhkan pertolongan. Naskah ini mencoba mengurai bagaimana kebijakan dekriminalisasi bagi pecandu di Indonesia dan Kebijakan rehabilitasi bagi pecandu, dan Implikasi Kebijakan Penanganan Pecandu Narkotika. Dari aspek hukum di Indonesia, dekriminalisasi dan depenalisasi serta pendekatan kesehatan sudah ada sejak dekade 1990-an. Namun komitmen dekriminalisasi baru memperoleh perhatian besar negara sejak awal dekade 2010 terutama sejak terbitnya Undang Undang No 35 tahun 2009 dan Peraturan Pemerintah Nomor 25 tahun 2011 tentang Pelaksanaan Wajib Lapor Pecandu Narkotika. Dalam kerangka implementasi kebijakan dekriminalisasi masih dihadapkan pada keterbatasan infrastruktur, SDM pelayanan dan stigma masyarakat terhadap pecandu. Stigmatisasi merupakan salah satu faktor yang berpengaruh besar dalam penyelenggaraan kebijakan penanganan pecandu pencapaian keberhasilan pemulihannya. Oleh karena itu masyarakat sebagai salah satu pemangku (stake holder) perlu dilibatkan dalam proses pemulihan, sehingga untuk Optimalisasi peran dimaksud diperlukan pemetaan tentang kapasitas lembaga yang ada di masyarakat.","author":[{"dropping-particle":"","family":"Gunawan","given":"Gunawan","non-dropping-particle":"","parse-names":false,"suffix":""}],"container-title":"Sosio Informa","id":"ITEM-1","issue":"3","issued":{"date-parts":[["2016"]]},"page":"239-258","title":"Dekriminalisasi Pecandu Narkotika: Pergeseran Pendekatan Dan Implikasi Kebijakan Penanganan Pecandu Narkotika Di Indonesia","type":"article-journal","volume":"2"},"uris":["http://www.mendeley.com/documents/?uuid=a01477e5-3009-4e8c-922f-ccc765ee99f1"]}],"mendeley":{"formattedCitation":"(Gunawan, 2016)","plainTextFormattedCitation":"(Gunawan, 2016)","previouslyFormattedCitation":"(Gunawan, 2016)"},"properties":{"noteIndex":0},"schema":"https://github.com/citation-style-language/schema/raw/master/csl-citation.json"}</w:instrText>
      </w:r>
      <w:r w:rsidRPr="001659B5">
        <w:rPr>
          <w:rFonts w:ascii="Times New Roman" w:eastAsiaTheme="minorHAnsi" w:hAnsi="Times New Roman" w:cs="Times New Roman"/>
          <w:lang w:val="id-ID" w:eastAsia="en-US"/>
        </w:rPr>
        <w:fldChar w:fldCharType="separate"/>
      </w:r>
      <w:r w:rsidRPr="001659B5">
        <w:rPr>
          <w:rFonts w:ascii="Times New Roman" w:eastAsiaTheme="minorHAnsi" w:hAnsi="Times New Roman" w:cs="Times New Roman"/>
          <w:noProof/>
          <w:lang w:val="id-ID" w:eastAsia="en-US"/>
        </w:rPr>
        <w:t>(Gunawan, 2016)</w:t>
      </w:r>
      <w:r w:rsidRPr="001659B5">
        <w:rPr>
          <w:rFonts w:ascii="Times New Roman" w:eastAsiaTheme="minorHAnsi" w:hAnsi="Times New Roman" w:cs="Times New Roman"/>
          <w:lang w:val="id-ID" w:eastAsia="en-US"/>
        </w:rPr>
        <w:fldChar w:fldCharType="end"/>
      </w:r>
      <w:r w:rsidRPr="001659B5">
        <w:rPr>
          <w:rFonts w:ascii="Times New Roman" w:eastAsiaTheme="minorHAnsi" w:hAnsi="Times New Roman" w:cs="Times New Roman"/>
          <w:lang w:val="id-ID" w:eastAsia="en-US"/>
        </w:rPr>
        <w:t>. Masa menjalani rehabilitasi diperhitungkan sebagai masa menjalani hukuman dan memberikan kewenangan kepada hakim untuk menghukum perkara pecandu narkotika dengan hukuman rehabilitasi terhadap tersangka.</w:t>
      </w:r>
    </w:p>
    <w:p w14:paraId="3CAA438E" w14:textId="40CB368A" w:rsidR="00C60367" w:rsidRDefault="00C60367" w:rsidP="004D5DD4">
      <w:pPr>
        <w:spacing w:after="0" w:line="240" w:lineRule="auto"/>
        <w:ind w:firstLine="709"/>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Hukuman rehabilitasi dianggap sebagai pilihan terbaik bagi para penyalahguna narkoba. Beberapa pertimbangannya adalah narapidana narkoba sebagian besar termasuk kategori pemakai dan penyalahguna narkoba, jika dilihat dari aspek kesehatan merupakan orang-orang yang sakit. Kondisi tahanan di Indonesia yang tidak mendukung baik dari sisi over capacity maupun lingkungan tahanan yang berdampak negatif mempengaruhi kejiwaan narapidana dengan kategori penyalahguna narkoba menjadi lebih buruk.</w:t>
      </w:r>
    </w:p>
    <w:p w14:paraId="491AC89E" w14:textId="6C5858F5" w:rsidR="00C60367" w:rsidRDefault="00C60367" w:rsidP="004D5DD4">
      <w:pPr>
        <w:spacing w:after="0" w:line="240" w:lineRule="auto"/>
        <w:ind w:firstLine="709"/>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Dalam menggarap program rehabilitasi 100 ribu pengguna narkoba dilakukan kerja sama antar lintas kementerian, antara lain Kementerian Kesehatan dan Kementerian Sosial dengan memanfaatkan fasilitas yang dimiliki. Aktor yang terlibat pada proses kebijakan ini hanyalah dari sektor pemerintah yang memiliki keterkaitan tugas pokok dan fungsinya. Belum ada bentuk dari keterlibatan masyarakat, baik secara langsung maupun tidak langsung.</w:t>
      </w:r>
    </w:p>
    <w:p w14:paraId="3F1A6F9B" w14:textId="2734B3DA" w:rsidR="00C60367" w:rsidRPr="00C60367" w:rsidRDefault="00C60367" w:rsidP="004D5DD4">
      <w:pPr>
        <w:spacing w:after="0" w:line="240" w:lineRule="auto"/>
        <w:ind w:firstLine="709"/>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 xml:space="preserve">Capaian program rehabilitasi 100 ribu pengguna tersebut dinilai tidak efektif. Deputi Bidang Politik, Hukum, dan Keamanan Sekretariat Kabinet Republik Indonesia menyampaikan, pada tahun 2022 jumlah penyalahguna yang mendapatkan akses rehabilitasi secara nasional sebanyak 31.868 orang. Walaupun angka tersebut melampaui RPJMN namun belum memenuhi arahan Presiden untuk merehabilitasi 100 ribu penyalahguna per tahun </w:t>
      </w:r>
      <w:r w:rsidRPr="001659B5">
        <w:rPr>
          <w:rFonts w:ascii="Times New Roman" w:eastAsiaTheme="minorHAnsi" w:hAnsi="Times New Roman" w:cs="Times New Roman"/>
          <w:lang w:val="id-ID" w:eastAsia="en-US"/>
        </w:rPr>
        <w:fldChar w:fldCharType="begin" w:fldLock="1"/>
      </w:r>
      <w:r w:rsidRPr="001659B5">
        <w:rPr>
          <w:rFonts w:ascii="Times New Roman" w:eastAsiaTheme="minorHAnsi" w:hAnsi="Times New Roman" w:cs="Times New Roman"/>
          <w:lang w:val="id-ID" w:eastAsia="en-US"/>
        </w:rPr>
        <w:instrText>ADDIN CSL_CITATION {"citationItems":[{"id":"ITEM-1","itemData":{"URL":"https://setkab.go.id/penanggulangan-bahaya-narkotika-melalui-rehabilitasi/","author":[{"dropping-particle":"","family":"Sekretariat","given":"Kabinet","non-dropping-particle":"","parse-names":false,"suffix":""}],"id":"ITEM-1","issued":{"date-parts":[["2023"]]},"title":"Penanggulangan Bahaya Narkotika Melalui Rehabilitasi","type":"webpage"},"uris":["http://www.mendeley.com/documents/?uuid=830627b0-0bed-4e64-92b8-2c49222806e6"]}],"mendeley":{"formattedCitation":"(Sekretariat, 2023)","plainTextFormattedCitation":"(Sekretariat, 2023)","previouslyFormattedCitation":"(Sekretariat, 2023)"},"properties":{"noteIndex":0},"schema":"https://github.com/citation-style-language/schema/raw/master/csl-citation.json"}</w:instrText>
      </w:r>
      <w:r w:rsidRPr="001659B5">
        <w:rPr>
          <w:rFonts w:ascii="Times New Roman" w:eastAsiaTheme="minorHAnsi" w:hAnsi="Times New Roman" w:cs="Times New Roman"/>
          <w:lang w:val="id-ID" w:eastAsia="en-US"/>
        </w:rPr>
        <w:fldChar w:fldCharType="separate"/>
      </w:r>
      <w:r w:rsidRPr="001659B5">
        <w:rPr>
          <w:rFonts w:ascii="Times New Roman" w:eastAsiaTheme="minorHAnsi" w:hAnsi="Times New Roman" w:cs="Times New Roman"/>
          <w:noProof/>
          <w:lang w:val="id-ID" w:eastAsia="en-US"/>
        </w:rPr>
        <w:t>(Sekretariat, 2023)</w:t>
      </w:r>
      <w:r w:rsidRPr="001659B5">
        <w:rPr>
          <w:rFonts w:ascii="Times New Roman" w:eastAsiaTheme="minorHAnsi" w:hAnsi="Times New Roman" w:cs="Times New Roman"/>
          <w:lang w:val="en-ID" w:eastAsia="en-US"/>
        </w:rPr>
        <w:fldChar w:fldCharType="end"/>
      </w:r>
      <w:r w:rsidRPr="001659B5">
        <w:rPr>
          <w:rFonts w:ascii="Times New Roman" w:eastAsiaTheme="minorHAnsi" w:hAnsi="Times New Roman" w:cs="Times New Roman"/>
          <w:lang w:val="id-ID" w:eastAsia="en-US"/>
        </w:rPr>
        <w:t>. Beberapa identifikasi masalah dalam pelaksanaan rehabilitasi ini dapat antara lain kondisi anggaran yang dimiliki oleh pemangku kepentingan. Sistem JKN yang belum meng-cover seluruh masyarakat sehingga pasien rehabilitasi masih banyak yang belum memiliki Kartu Indonesia Sehat/BPJS Kesehatan. Layanan rehabilitasi yang belum merata di seluruh wilayah Indonesia baik secara kualitas maupun kuantitas. Pemahaman mengenai pentingnya wajib lapor bagi penyalahguna yang belum cukup baik disosialisasikan ke masyarakat.</w:t>
      </w:r>
    </w:p>
    <w:p w14:paraId="0F9C1C7F" w14:textId="5AE30DEA"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 xml:space="preserve">Sementara itu Ombudsman menilai program rehabilitasi 100 ribu penyalahguna narkoba tidak efektif. Kebijakan yang ditangani oleh 3 (tiga) kementerian/lembaga dianggap memboroskan negara dalam mengurusi satu masalah narkoba. Sinergitas antar lembaga tidak terlihat dan berjalan sendiri-sendiri </w:t>
      </w:r>
      <w:r w:rsidRPr="001659B5">
        <w:rPr>
          <w:rFonts w:ascii="Times New Roman" w:eastAsiaTheme="minorHAnsi" w:hAnsi="Times New Roman" w:cs="Times New Roman"/>
          <w:lang w:val="id-ID" w:eastAsia="en-US"/>
        </w:rPr>
        <w:fldChar w:fldCharType="begin" w:fldLock="1"/>
      </w:r>
      <w:r w:rsidRPr="001659B5">
        <w:rPr>
          <w:rFonts w:ascii="Times New Roman" w:eastAsiaTheme="minorHAnsi" w:hAnsi="Times New Roman" w:cs="Times New Roman"/>
          <w:lang w:val="id-ID" w:eastAsia="en-US"/>
        </w:rPr>
        <w:instrText>ADDIN CSL_CITATION {"citationItems":[{"id":"ITEM-1","itemData":{"URL":"https://ombudsman.go.id/news/r/ombudsman-program-rehabilitasi-100-ribu-pencandu-narkoba-tak-efektif","author":[{"dropping-particle":"","family":"Ombudsman","given":"","non-dropping-particle":"","parse-names":false,"suffix":""}],"id":"ITEM-1","issued":{"date-parts":[["2018"]]},"title":"Ombudsman: Program Rehabilitasi 100 Ribu Pencandu Narkoba Tak Efektif","type":"webpage"},"uris":["http://www.mendeley.com/documents/?uuid=a78c19d7-4c2d-46b9-b205-49f2f87b9fb9"]}],"mendeley":{"formattedCitation":"(Ombudsman, 2018)","plainTextFormattedCitation":"(Ombudsman, 2018)","previouslyFormattedCitation":"(Ombudsman, 2018)"},"properties":{"noteIndex":0},"schema":"https://github.com/citation-style-language/schema/raw/master/csl-citation.json"}</w:instrText>
      </w:r>
      <w:r w:rsidRPr="001659B5">
        <w:rPr>
          <w:rFonts w:ascii="Times New Roman" w:eastAsiaTheme="minorHAnsi" w:hAnsi="Times New Roman" w:cs="Times New Roman"/>
          <w:lang w:val="id-ID" w:eastAsia="en-US"/>
        </w:rPr>
        <w:fldChar w:fldCharType="separate"/>
      </w:r>
      <w:r w:rsidRPr="001659B5">
        <w:rPr>
          <w:rFonts w:ascii="Times New Roman" w:eastAsiaTheme="minorHAnsi" w:hAnsi="Times New Roman" w:cs="Times New Roman"/>
          <w:noProof/>
          <w:lang w:val="id-ID" w:eastAsia="en-US"/>
        </w:rPr>
        <w:t>(Ombudsman, 2018)</w:t>
      </w:r>
      <w:r w:rsidRPr="001659B5">
        <w:rPr>
          <w:rFonts w:ascii="Times New Roman" w:eastAsiaTheme="minorHAnsi" w:hAnsi="Times New Roman" w:cs="Times New Roman"/>
          <w:lang w:val="en-ID" w:eastAsia="en-US"/>
        </w:rPr>
        <w:fldChar w:fldCharType="end"/>
      </w:r>
      <w:r w:rsidRPr="001659B5">
        <w:rPr>
          <w:rFonts w:ascii="Times New Roman" w:eastAsiaTheme="minorHAnsi" w:hAnsi="Times New Roman" w:cs="Times New Roman"/>
          <w:lang w:val="id-ID" w:eastAsia="en-US"/>
        </w:rPr>
        <w:t>.</w:t>
      </w:r>
    </w:p>
    <w:p w14:paraId="4C18009B" w14:textId="67FD5B33"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 xml:space="preserve">Kebijakan tersebut berlangsung hingga tahun 2019 dan berganti dengan program Pemulihan Berbasis Masyarakat (PBM). Pemerintah dalam hal ini BNN membentuk PBM dengan anggota yang terdiri dari unsur masyarakat. Kewenangan PBM yang diberikan oleh negara masih terbatas. PBM hanya bertugas dalam hal sosialisasi, pemetaan, dan penjangkauan saja. Data-data yang dikumpulkan secara kolektif oleh PBM digunakan </w:t>
      </w:r>
      <w:r w:rsidRPr="001659B5">
        <w:rPr>
          <w:rFonts w:ascii="Times New Roman" w:eastAsiaTheme="minorHAnsi" w:hAnsi="Times New Roman" w:cs="Times New Roman"/>
          <w:lang w:val="id-ID" w:eastAsia="en-US"/>
        </w:rPr>
        <w:lastRenderedPageBreak/>
        <w:t>sebagai basis data untuk penentuan kebijakan lebih lanjut. PBM tidak melaksanakan tindakan rehabilitasi terhadap klien akan tetapi intervensi rehabilitasi ini dilakukan oleh BNN di berbagai tingkatan.</w:t>
      </w:r>
    </w:p>
    <w:p w14:paraId="32AFC6C7" w14:textId="46EDACBD"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Kemudian pada tahun 2021 kebijakan PBM mengalami perkembangan menjadi program Intevensi Berbasis Masyarakat (IBM). Pemerintah memberikan kewenangan lebih luas kepada komunitas masyarakat. Tidak hanya untuk melaksanakan sosialisasi, pemetaan, dan penjangkauan akan tetapi masyarakat diberikan tugas dan tanggung jawab untuk melaksanakan proses rehabilitasi terhadap klien dengan kategori pelayanan tingkat dasar.</w:t>
      </w:r>
    </w:p>
    <w:p w14:paraId="3309B0EB" w14:textId="0C258835" w:rsidR="00C60367" w:rsidRPr="00BD5759" w:rsidRDefault="00C60367" w:rsidP="004D5DD4">
      <w:pPr>
        <w:spacing w:after="0" w:line="240" w:lineRule="auto"/>
        <w:ind w:firstLine="720"/>
        <w:jc w:val="both"/>
        <w:rPr>
          <w:rFonts w:ascii="Times New Roman" w:eastAsiaTheme="minorHAnsi" w:hAnsi="Times New Roman" w:cs="Times New Roman"/>
          <w:lang w:val="id-ID" w:eastAsia="en-US"/>
        </w:rPr>
      </w:pPr>
      <w:r w:rsidRPr="00936571">
        <w:rPr>
          <w:rFonts w:ascii="Times New Roman" w:eastAsiaTheme="minorHAnsi" w:hAnsi="Times New Roman" w:cs="Times New Roman"/>
          <w:lang w:val="id-ID" w:eastAsia="en-US"/>
        </w:rPr>
        <w:t>Rehabilitasi melalui intervensi berbasis masyarakat merupakan kebijakan rehabilitasi penyalah guna narkoba yang dirancang dari masyarakat, untuk masyarakat, dan oleh masyarakat melalui agen pemulihan dengan memanfaatkan fasilitas dan potensi masyarakat dengan kearifan lokal. IBM ini menyasar pada penyalah guna</w:t>
      </w:r>
      <w:r w:rsidRPr="00BD5759">
        <w:rPr>
          <w:rFonts w:ascii="Times New Roman" w:eastAsiaTheme="minorHAnsi" w:hAnsi="Times New Roman" w:cs="Times New Roman"/>
          <w:lang w:val="id-ID" w:eastAsia="en-US"/>
        </w:rPr>
        <w:t xml:space="preserve"> dengan ambang batas rendah dengan layanan yang mudah diakses serta tidak membutuhkan persyaratan untuk terlibat didalamnya.</w:t>
      </w:r>
    </w:p>
    <w:p w14:paraId="77BCD255" w14:textId="320C2039"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Agen pemulihan mengelola kewenangan yang diberikan pemerintah dengan memanfaatkan modal sosial yang ada. Tingkat kerawanan dan penyalahgunaan narkoba dapat dijangkau lebih mendalam. Obyek program rehabilitasi lebih tepat sasaran. Dinamika yang muncul dari proses rehabilitasi dapat dikelola. Karena agen lebih mengenal karakter, kebiasaan, dan nilai-nilai yang dianut oleh masyarakat. Pemerintah bertanggung jawab terhadap perencanaan, penjajakan elemen, penganggaran, peningkatan kapasitas, dan evaluasi program IBM.</w:t>
      </w:r>
    </w:p>
    <w:p w14:paraId="086C8056" w14:textId="2A10517B" w:rsidR="00C60367" w:rsidRPr="00297F1B" w:rsidRDefault="00C60367" w:rsidP="00297F1B">
      <w:pPr>
        <w:pStyle w:val="ListParagraph"/>
        <w:numPr>
          <w:ilvl w:val="0"/>
          <w:numId w:val="6"/>
        </w:numPr>
        <w:spacing w:after="0"/>
        <w:ind w:left="426" w:hanging="426"/>
        <w:jc w:val="both"/>
        <w:rPr>
          <w:rFonts w:ascii="Times New Roman" w:eastAsiaTheme="minorHAnsi" w:hAnsi="Times New Roman" w:cs="Times New Roman"/>
          <w:b/>
          <w:bCs/>
          <w:lang w:val="id-ID" w:eastAsia="en-US"/>
        </w:rPr>
      </w:pPr>
      <w:r w:rsidRPr="00297F1B">
        <w:rPr>
          <w:rFonts w:ascii="Times New Roman" w:eastAsiaTheme="minorHAnsi" w:hAnsi="Times New Roman" w:cs="Times New Roman"/>
          <w:b/>
          <w:bCs/>
          <w:lang w:val="id-ID" w:eastAsia="en-US"/>
        </w:rPr>
        <w:t>Prakarsa Pemerintah Sebagai Pijakan Awal</w:t>
      </w:r>
    </w:p>
    <w:p w14:paraId="7285BD9B" w14:textId="15458DD7"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Sebagai hulu program IBM, BNN menyelenggarakan workshop lintas sektor terkait. Instansi yang terlibat yaitu Polres, Kodim, Dinas Kesehatan, Badan Kesatuan Bangsa dan Politik, Satuan Polisi Pamong Praja, Tim PKK, dan Karang Taruna. Forum ini fokus membahas penanganan narkoba melalui rehabilitasi oleh komunitas dengan membentuk IBM.</w:t>
      </w:r>
    </w:p>
    <w:p w14:paraId="2826F9F6" w14:textId="7A50198C"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Pembahasan rapat adalah penentuan lokasi IBM dengan mengidentifikasi wilayah yang dipertimbangkan menjadi sasaran IBM. Kualifikasi pemetaan wilayah didapatkan dari stake holder yang memiliki sumber data yang berkualitas dan valid. Antara lain kondisi permasalahan narkoba di wilayah, layanan rehabilitasi medis atau sosial tidak tersedia, potensi partisipasi pemangku kepentingan lokal dan masyarakat, dan potensi jejaring untuk memenuhi kebutuhan pemulihan pengguna narkoba. Basis data ini menentukan keberhasilan dan keberlanjutan dari program IBM.</w:t>
      </w:r>
    </w:p>
    <w:p w14:paraId="1C8AA1DB" w14:textId="0D7012BF"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 xml:space="preserve">BNN berupaya menginternalisasi tujuan IBM kepada lintas sektor dan lintas tupoksi. Acapkali konsensus yang didapatkan hanya terjadi pada meja rapat/workshop dan tidak ada tindak lanjut yang konkret. Hal ini dirasa wajar mengingat setiap institusi memiliki tugas dan tanggung jawab masing-masing. Sehingga muncul skeptisme kewajiban di luar wewenang mereka. Namun kewajaran ini dikelola melalui komunikasi </w:t>
      </w:r>
      <w:r w:rsidRPr="001659B5">
        <w:rPr>
          <w:rFonts w:ascii="Times New Roman" w:eastAsiaTheme="minorHAnsi" w:hAnsi="Times New Roman" w:cs="Times New Roman"/>
          <w:i/>
          <w:iCs/>
          <w:lang w:val="id-ID" w:eastAsia="en-US"/>
        </w:rPr>
        <w:t>desk to desk</w:t>
      </w:r>
      <w:r w:rsidRPr="001659B5">
        <w:rPr>
          <w:rFonts w:ascii="Times New Roman" w:eastAsiaTheme="minorHAnsi" w:hAnsi="Times New Roman" w:cs="Times New Roman"/>
          <w:lang w:val="id-ID" w:eastAsia="en-US"/>
        </w:rPr>
        <w:t xml:space="preserve"> kepada stakeholder guna memastikan konsensus.</w:t>
      </w:r>
    </w:p>
    <w:p w14:paraId="62676355" w14:textId="1566C3E3"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Rapat koordinasi di wilayah lokasi IBM melibatkan semua unsur yang terdiri dari pemerintah desa, PKK, Karang Taruna, tokoh agama, tokoh masyarakat, serta para pelaku sektor usaha lokal. Hal ini dilakukan untuk memastikan bahwa program IBM akan dijalankan dan seluruh elemen masyarakat berpartisipasi. Sebagai dasar legitimasi, BNN menerbitkan surat keputusan tentang penetapan wilayah lokasi program IBM.</w:t>
      </w:r>
    </w:p>
    <w:p w14:paraId="2DD7BBED" w14:textId="7BB8D18E" w:rsidR="00C60367" w:rsidRPr="00297F1B" w:rsidRDefault="00C60367" w:rsidP="00297F1B">
      <w:pPr>
        <w:pStyle w:val="ListParagraph"/>
        <w:numPr>
          <w:ilvl w:val="0"/>
          <w:numId w:val="6"/>
        </w:numPr>
        <w:spacing w:after="0"/>
        <w:ind w:left="426" w:hanging="426"/>
        <w:jc w:val="both"/>
        <w:rPr>
          <w:rFonts w:ascii="Times New Roman" w:eastAsiaTheme="minorHAnsi" w:hAnsi="Times New Roman" w:cs="Times New Roman"/>
          <w:b/>
          <w:bCs/>
          <w:lang w:val="id-ID" w:eastAsia="en-US"/>
        </w:rPr>
      </w:pPr>
      <w:r w:rsidRPr="00297F1B">
        <w:rPr>
          <w:rFonts w:ascii="Times New Roman" w:eastAsiaTheme="minorHAnsi" w:hAnsi="Times New Roman" w:cs="Times New Roman"/>
          <w:b/>
          <w:bCs/>
          <w:lang w:val="id-ID" w:eastAsia="en-US"/>
        </w:rPr>
        <w:t>Keterlibatan Setiap Aktor Lintas Sektor</w:t>
      </w:r>
    </w:p>
    <w:p w14:paraId="402877E2" w14:textId="006BDE60"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Program IBM dijalankan oleh kolaborasi beberapa aktor. Setiap aktor memiliki tanggung jawab sesuai dengan konsensus. Aktor program IBM ini dapat dikelompokan menjadi dua berdasarkan peran yang dimainkan.</w:t>
      </w:r>
    </w:p>
    <w:p w14:paraId="7AF6DE4A" w14:textId="77777777" w:rsidR="00C60367" w:rsidRPr="001659B5" w:rsidRDefault="00C60367" w:rsidP="004D5DD4">
      <w:pPr>
        <w:numPr>
          <w:ilvl w:val="0"/>
          <w:numId w:val="2"/>
        </w:numPr>
        <w:spacing w:after="0" w:line="240" w:lineRule="auto"/>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lastRenderedPageBreak/>
        <w:t>Aktor Utama</w:t>
      </w:r>
    </w:p>
    <w:p w14:paraId="6BBAAEB2" w14:textId="77777777" w:rsidR="00C60367" w:rsidRPr="001659B5" w:rsidRDefault="00C60367" w:rsidP="004D5DD4">
      <w:pPr>
        <w:spacing w:after="0" w:line="240" w:lineRule="auto"/>
        <w:ind w:left="709"/>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Pihak yang terlibat secara langsung menjalankan proses rehabilitasi. Keberlangsungan dan keberhasilan dari program IBM ditentukan oleh aktor ini.</w:t>
      </w:r>
    </w:p>
    <w:p w14:paraId="73CCDF91" w14:textId="77777777" w:rsidR="00C60367" w:rsidRPr="001659B5" w:rsidRDefault="00C60367" w:rsidP="004D5DD4">
      <w:pPr>
        <w:numPr>
          <w:ilvl w:val="1"/>
          <w:numId w:val="2"/>
        </w:numPr>
        <w:spacing w:after="0" w:line="240" w:lineRule="auto"/>
        <w:ind w:left="1134" w:hanging="425"/>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BNN Kabupaten Purbalingga</w:t>
      </w:r>
    </w:p>
    <w:p w14:paraId="15A9B617" w14:textId="77777777" w:rsidR="00C60367" w:rsidRDefault="00C60367" w:rsidP="004D5DD4">
      <w:pPr>
        <w:spacing w:after="0" w:line="240" w:lineRule="auto"/>
        <w:ind w:left="1134"/>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Sebagai pemilik dan sekaligus penanggung jawab kebijakan IBM. BNN men-deliver program beserta hal teknis kepada aktor terkait dan pembentukan Agen Pemulihan. Alokasi anggaran program IBM berasal dari APBN sehingga dituntut kecermatan dan kehati-hatian dalam pengelolaan anggaran oleh Tim.</w:t>
      </w:r>
    </w:p>
    <w:p w14:paraId="028E8DCD" w14:textId="3623128D" w:rsidR="00C60367" w:rsidRPr="001659B5" w:rsidRDefault="00C60367" w:rsidP="00C60367">
      <w:pPr>
        <w:spacing w:after="0"/>
        <w:ind w:left="1134"/>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BNN melakukan monev berkala guna memastikan keberhasilan dari program ini. Kegiatan monev juga menjaring dinamika yang terjadi selama program IBM dijalankan oleh Tim.</w:t>
      </w:r>
    </w:p>
    <w:p w14:paraId="31E2AC4B" w14:textId="77777777" w:rsidR="00C60367" w:rsidRPr="001659B5" w:rsidRDefault="00C60367" w:rsidP="004D5DD4">
      <w:pPr>
        <w:numPr>
          <w:ilvl w:val="1"/>
          <w:numId w:val="2"/>
        </w:numPr>
        <w:spacing w:after="0" w:line="240" w:lineRule="auto"/>
        <w:ind w:left="1134" w:hanging="425"/>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Pemerintah Desa</w:t>
      </w:r>
    </w:p>
    <w:p w14:paraId="5FF88347" w14:textId="77777777" w:rsidR="00C60367" w:rsidRPr="001659B5" w:rsidRDefault="00C60367" w:rsidP="004D5DD4">
      <w:pPr>
        <w:spacing w:after="0" w:line="240" w:lineRule="auto"/>
        <w:ind w:left="1134"/>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Kepala Desa memiliki kewenangan menetapkan anggota Agen Pemulihan melalui Surat Keputusan. Pemilihan anggota diintervensi oleh pemerintah desa untuk memastikan anggota Tim adalah warga desa yang memiliki kapabilitas. Pemerintah desa memfasilitasi serta menggerakan unsur pemerintah untuk mendukung program IBM. Walaupun penganggaran program IBM berasal dari APBN BNN, pemerintah desa juga bisa mengalokasikan APBDes untuk mendukung IBM. Instrumen untuk dijadikan dasar dalam penggunaan APBDes sudah diatur dalam ketentuan Permendagri Nomor 44 Tahun 2016 dan Permendagri Nomor 20 Tahun 2018 tentang Pengelolaan Keuangan Desa. Sehingga dibutuhkan political will dari Kepala Desa untuk menempatkan persoalan narkoba sebagai prioritas kegiatan di desa.</w:t>
      </w:r>
    </w:p>
    <w:p w14:paraId="5BD116F4" w14:textId="77777777" w:rsidR="00C60367" w:rsidRPr="001659B5" w:rsidRDefault="00C60367" w:rsidP="004D5DD4">
      <w:pPr>
        <w:numPr>
          <w:ilvl w:val="1"/>
          <w:numId w:val="2"/>
        </w:numPr>
        <w:spacing w:after="0" w:line="240" w:lineRule="auto"/>
        <w:ind w:left="1134" w:hanging="425"/>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Agen Pemulihan</w:t>
      </w:r>
    </w:p>
    <w:p w14:paraId="7F6A7883" w14:textId="77777777" w:rsidR="00C60367" w:rsidRPr="001659B5" w:rsidRDefault="00C60367" w:rsidP="004D5DD4">
      <w:pPr>
        <w:spacing w:after="0" w:line="240" w:lineRule="auto"/>
        <w:ind w:left="1134"/>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Merupakan ujung tombak dari kegiatan IBM. Dibentuk untuk menggerakan potensi dan menumbuhkan awareness masyarakat agar memiliki kepedulian terhadap pemulihan dan pencegahan kekambuhan klien yang notabene anggota masyarakat desa. Jumlah anggota minimal empat orang dan dapat ditambah menyesuaikan dengan kondisi. Syarat menjadi anggota adalah memiliki kesadaran dan komitmen akan keselamatan anggota masyarakatnya. Anggota agen merupakan gabungan dari berbagai unsur yaitu pemerintah desa, satuan pelindung masyarakat, tokoh agama dan masyarakat, tenaga kesehatan, anggota PKK, dan karang taruna. Agen Pemulihan memiliki tugas sebagai berikut:</w:t>
      </w:r>
    </w:p>
    <w:p w14:paraId="329E2CAE" w14:textId="77777777" w:rsidR="00C60367" w:rsidRPr="001659B5" w:rsidRDefault="00C60367" w:rsidP="004D5DD4">
      <w:pPr>
        <w:numPr>
          <w:ilvl w:val="0"/>
          <w:numId w:val="3"/>
        </w:numPr>
        <w:spacing w:after="0" w:line="240" w:lineRule="auto"/>
        <w:ind w:hanging="437"/>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Melakukan pemetaan situasi dan kondisi penyalahgunaan narkoba</w:t>
      </w:r>
    </w:p>
    <w:p w14:paraId="7924E90C" w14:textId="77777777" w:rsidR="00C60367" w:rsidRPr="001659B5" w:rsidRDefault="00C60367" w:rsidP="004D5DD4">
      <w:pPr>
        <w:numPr>
          <w:ilvl w:val="0"/>
          <w:numId w:val="3"/>
        </w:numPr>
        <w:spacing w:after="0" w:line="240" w:lineRule="auto"/>
        <w:ind w:hanging="437"/>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Melakukan penjangkauan penyalahguna narkoba serta mengidentifikasi penggunaan narkoba</w:t>
      </w:r>
    </w:p>
    <w:p w14:paraId="180D6966" w14:textId="77777777" w:rsidR="00C60367" w:rsidRPr="001659B5" w:rsidRDefault="00C60367" w:rsidP="004D5DD4">
      <w:pPr>
        <w:numPr>
          <w:ilvl w:val="0"/>
          <w:numId w:val="3"/>
        </w:numPr>
        <w:spacing w:after="0" w:line="240" w:lineRule="auto"/>
        <w:ind w:hanging="437"/>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Melakukan layanan IBM yang terdiri dari layanan wajib dan layanan pilihan secara individu maupun kelompok</w:t>
      </w:r>
    </w:p>
    <w:p w14:paraId="5591213B" w14:textId="77777777" w:rsidR="00C60367" w:rsidRPr="001659B5" w:rsidRDefault="00C60367" w:rsidP="004D5DD4">
      <w:pPr>
        <w:numPr>
          <w:ilvl w:val="0"/>
          <w:numId w:val="3"/>
        </w:numPr>
        <w:spacing w:after="0" w:line="240" w:lineRule="auto"/>
        <w:ind w:hanging="437"/>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Melakukan dukungan pemulihan melalui bina lanjut dan penanganan kekambuhan</w:t>
      </w:r>
    </w:p>
    <w:p w14:paraId="3BB4B099" w14:textId="77777777" w:rsidR="00C60367" w:rsidRPr="001659B5" w:rsidRDefault="00C60367" w:rsidP="004D5DD4">
      <w:pPr>
        <w:numPr>
          <w:ilvl w:val="0"/>
          <w:numId w:val="3"/>
        </w:numPr>
        <w:spacing w:after="0" w:line="240" w:lineRule="auto"/>
        <w:ind w:hanging="437"/>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Melakukan rujukan ke layanan lanjut yang dibutuhkan bagi penyalahguna narkoba dengan berkoordinasi melalui BNN</w:t>
      </w:r>
    </w:p>
    <w:p w14:paraId="1DE7A118" w14:textId="77777777" w:rsidR="00C60367" w:rsidRPr="001659B5" w:rsidRDefault="00C60367" w:rsidP="004D5DD4">
      <w:pPr>
        <w:numPr>
          <w:ilvl w:val="0"/>
          <w:numId w:val="3"/>
        </w:numPr>
        <w:spacing w:after="0" w:line="240" w:lineRule="auto"/>
        <w:ind w:hanging="437"/>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Melibatkan mantan penyalahguna dan masyarakat untuk memberikan dukungan kepada penyalahguna narkoba</w:t>
      </w:r>
    </w:p>
    <w:p w14:paraId="5A1BE272" w14:textId="77777777" w:rsidR="00C60367" w:rsidRPr="001659B5" w:rsidRDefault="00C60367" w:rsidP="004D5DD4">
      <w:pPr>
        <w:numPr>
          <w:ilvl w:val="0"/>
          <w:numId w:val="2"/>
        </w:numPr>
        <w:spacing w:after="0" w:line="240" w:lineRule="auto"/>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Aktor pendamping</w:t>
      </w:r>
    </w:p>
    <w:p w14:paraId="7ACB0940" w14:textId="77777777" w:rsidR="00C60367" w:rsidRPr="001659B5" w:rsidRDefault="00C60367" w:rsidP="004D5DD4">
      <w:pPr>
        <w:spacing w:after="0" w:line="240" w:lineRule="auto"/>
        <w:ind w:left="709"/>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Aktor ini bersifat sebagai pendukung dari pelaksanaan IBM. Mereka tidak terlibat secara langsung dalam hal teknis kegiatan IBM yang dilakukan oleh agen. Posisinya sebagai pengumpan dari hasil tindakan yang dilakukan oleh agen.</w:t>
      </w:r>
    </w:p>
    <w:p w14:paraId="5A2ED449" w14:textId="77777777" w:rsidR="00C60367" w:rsidRPr="001659B5" w:rsidRDefault="00C60367" w:rsidP="004D5DD4">
      <w:pPr>
        <w:numPr>
          <w:ilvl w:val="0"/>
          <w:numId w:val="4"/>
        </w:numPr>
        <w:spacing w:after="0" w:line="240" w:lineRule="auto"/>
        <w:ind w:hanging="437"/>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lastRenderedPageBreak/>
        <w:t>Forum Koordinasi Pimpinan Kecamatan</w:t>
      </w:r>
    </w:p>
    <w:p w14:paraId="5192CE0F" w14:textId="77777777" w:rsidR="00C60367" w:rsidRDefault="00C60367" w:rsidP="004D5DD4">
      <w:pPr>
        <w:spacing w:after="0" w:line="240" w:lineRule="auto"/>
        <w:ind w:left="1134"/>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 xml:space="preserve">Forkopimcam sebagai penunjang kelancaran urusan publik di wilayahnya serta mewujudkan stabilitas keamanan lokal, penanganan konflik, serta koordinasi pelaksanaan tugas antar instansi. Bertugas membangun sinergitas hubungan antar unsur guna mendukung pelaksanaan kebijakan di tingkat lokal </w:t>
      </w:r>
      <w:r w:rsidRPr="001659B5">
        <w:rPr>
          <w:rFonts w:ascii="Times New Roman" w:eastAsiaTheme="minorHAnsi" w:hAnsi="Times New Roman" w:cs="Times New Roman"/>
          <w:vertAlign w:val="superscript"/>
          <w:lang w:val="id-ID" w:eastAsia="en-US"/>
        </w:rPr>
        <w:fldChar w:fldCharType="begin" w:fldLock="1"/>
      </w:r>
      <w:r w:rsidRPr="001659B5">
        <w:rPr>
          <w:rFonts w:ascii="Times New Roman" w:eastAsiaTheme="minorHAnsi" w:hAnsi="Times New Roman" w:cs="Times New Roman"/>
          <w:lang w:val="id-ID" w:eastAsia="en-US"/>
        </w:rPr>
        <w:instrText>ADDIN CSL_CITATION {"citationItems":[{"id":"ITEM-1","itemData":{"author":[{"dropping-particle":"","family":"PP12/2022","given":"","non-dropping-particle":"","parse-names":false,"suffix":""},{"dropping-particle":"","family":"UUD/1945","given":"","non-dropping-particle":"","parse-names":false,"suffix":""},{"dropping-particle":"","family":"UU23/2014","given":"","non-dropping-particle":"","parse-names":false,"suffix":""},{"dropping-particle":"","family":"UU11/2020","given":"","non-dropping-particle":"","parse-names":false,"suffix":""}],"container-title":"Pemerintah Republik Indonesia","id":"ITEM-1","issue":"12","issued":{"date-parts":[["2022"]]},"title":"Peraturan Pemerintah Republik Indonesia Nomor 12 Tahun 2022 Tentang Forum Koordinasi Pimpinan Di Daerah","type":"article-journal"},"uris":["http://www.mendeley.com/documents/?uuid=2aaddeee-1d3b-4ca2-8afb-fed2f247432b"]}],"mendeley":{"formattedCitation":"(PP12/2022 et al., 2022)","plainTextFormattedCitation":"(PP12/2022 et al., 2022)","previouslyFormattedCitation":"(PP12/2022 et al., 2022)"},"properties":{"noteIndex":0},"schema":"https://github.com/citation-style-language/schema/raw/master/csl-citation.json"}</w:instrText>
      </w:r>
      <w:r w:rsidRPr="001659B5">
        <w:rPr>
          <w:rFonts w:ascii="Times New Roman" w:eastAsiaTheme="minorHAnsi" w:hAnsi="Times New Roman" w:cs="Times New Roman"/>
          <w:vertAlign w:val="superscript"/>
          <w:lang w:val="id-ID" w:eastAsia="en-US"/>
        </w:rPr>
        <w:fldChar w:fldCharType="separate"/>
      </w:r>
      <w:r w:rsidRPr="001659B5">
        <w:rPr>
          <w:rFonts w:ascii="Times New Roman" w:eastAsiaTheme="minorHAnsi" w:hAnsi="Times New Roman" w:cs="Times New Roman"/>
          <w:bCs/>
          <w:noProof/>
          <w:lang w:val="id-ID" w:eastAsia="en-US"/>
        </w:rPr>
        <w:t>(PP12/2022 et al., 2022)</w:t>
      </w:r>
      <w:r w:rsidRPr="001659B5">
        <w:rPr>
          <w:rFonts w:ascii="Times New Roman" w:eastAsiaTheme="minorHAnsi" w:hAnsi="Times New Roman" w:cs="Times New Roman"/>
          <w:lang w:val="en-ID" w:eastAsia="en-US"/>
        </w:rPr>
        <w:fldChar w:fldCharType="end"/>
      </w:r>
      <w:r w:rsidRPr="001659B5">
        <w:rPr>
          <w:rFonts w:ascii="Times New Roman" w:eastAsiaTheme="minorHAnsi" w:hAnsi="Times New Roman" w:cs="Times New Roman"/>
          <w:lang w:val="id-ID" w:eastAsia="en-US"/>
        </w:rPr>
        <w:t>.</w:t>
      </w:r>
    </w:p>
    <w:p w14:paraId="3DEF12DD" w14:textId="4A4A20C2" w:rsidR="00F864D7" w:rsidRPr="001659B5" w:rsidRDefault="00C60367" w:rsidP="004D5DD4">
      <w:pPr>
        <w:spacing w:after="0" w:line="240" w:lineRule="auto"/>
        <w:ind w:left="1134"/>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Diketuai oleh Camat dan beranggotakan Kapolsek dan Danramil. Babinsa dan Bhabinkamtibmas menjadi kepanjangan Polsek dan Koramil di wilayah. Situasi kamtibmas menjadi jaminan dari keberadaan Babinsa dan Bhabinkamtibmas. Data kewilayahan yang menyangkut potensi kerawanan bisa dikelola dengan upaya preventif. Sehingga program IBM dapat berjalan dengan kondusif dan tanpa eskalasi kerawanan sosial.</w:t>
      </w:r>
    </w:p>
    <w:p w14:paraId="4DFCD78C" w14:textId="77777777" w:rsidR="00C60367" w:rsidRPr="001659B5" w:rsidRDefault="00C60367" w:rsidP="004D5DD4">
      <w:pPr>
        <w:numPr>
          <w:ilvl w:val="0"/>
          <w:numId w:val="4"/>
        </w:numPr>
        <w:spacing w:after="0" w:line="240" w:lineRule="auto"/>
        <w:ind w:hanging="437"/>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Pelaku Usaha Lokal</w:t>
      </w:r>
    </w:p>
    <w:p w14:paraId="70294988" w14:textId="0E851E35" w:rsidR="00C60367" w:rsidRPr="00C60367" w:rsidRDefault="00C60367" w:rsidP="004D5DD4">
      <w:pPr>
        <w:spacing w:after="0" w:line="240" w:lineRule="auto"/>
        <w:ind w:left="1134"/>
        <w:jc w:val="both"/>
        <w:rPr>
          <w:rFonts w:ascii="Times New Roman" w:eastAsiaTheme="minorHAnsi" w:hAnsi="Times New Roman" w:cs="Times New Roman"/>
          <w:lang w:val="id-ID" w:eastAsia="en-US"/>
        </w:rPr>
      </w:pPr>
      <w:r w:rsidRPr="001659B5">
        <w:rPr>
          <w:rFonts w:ascii="Times New Roman" w:eastAsiaTheme="minorHAnsi" w:hAnsi="Times New Roman" w:cs="Times New Roman"/>
          <w:lang w:val="id-ID" w:eastAsia="en-US"/>
        </w:rPr>
        <w:t>Secara kuantitas dan kualitas pelaku usaha di tingkat lokal tidak terlalu dominan dalam pengaruh kehidupan warga lokal. Keterlibatannya adalah pada fasilitasi bagi para klien rehabilitasi untuk mendapatkan lapangan kerja. Klien rehabilitasi yang selesai dan pulih, direkrut untuk bekerja pada pelaku usaha. Tanggung jawab pekerjaan yang diberikan menyesuaikan dengan kondisi dari klien rehabilitasi. Kontribusi dari pelaku usaha berbeda-beda pada setiap wilayah IBM. Tidak ada standar yang mutlak karena tidak dituntut untuk terlibat langsung dalam IBM. Keterlibatan pelaku usaha didasarkan pada kesadaran bahwa keselamatan dan masa depan dari a</w:t>
      </w:r>
      <w:r w:rsidR="00004343" w:rsidRPr="00FF49E0">
        <w:rPr>
          <w:rFonts w:ascii="Times New Roman" w:eastAsiaTheme="minorHAnsi" w:hAnsi="Times New Roman" w:cs="Times New Roman"/>
          <w:lang w:val="id-ID" w:eastAsia="en-US"/>
        </w:rPr>
        <w:t xml:space="preserve"> </w:t>
      </w:r>
      <w:r w:rsidRPr="001659B5">
        <w:rPr>
          <w:rFonts w:ascii="Times New Roman" w:eastAsiaTheme="minorHAnsi" w:hAnsi="Times New Roman" w:cs="Times New Roman"/>
          <w:lang w:val="id-ID" w:eastAsia="en-US"/>
        </w:rPr>
        <w:t>nggota masyarakat adalah tanggung jawab bersama.</w:t>
      </w:r>
    </w:p>
    <w:p w14:paraId="552F07D8" w14:textId="510E4975" w:rsidR="00C60367" w:rsidRPr="00297F1B" w:rsidRDefault="00C60367" w:rsidP="00297F1B">
      <w:pPr>
        <w:pStyle w:val="ListParagraph"/>
        <w:numPr>
          <w:ilvl w:val="0"/>
          <w:numId w:val="6"/>
        </w:numPr>
        <w:spacing w:after="0"/>
        <w:ind w:left="426" w:hanging="426"/>
        <w:jc w:val="both"/>
        <w:rPr>
          <w:rFonts w:ascii="Times New Roman" w:eastAsiaTheme="minorHAnsi" w:hAnsi="Times New Roman" w:cs="Times New Roman"/>
          <w:b/>
          <w:bCs/>
          <w:lang w:eastAsia="en-US"/>
        </w:rPr>
      </w:pPr>
      <w:r w:rsidRPr="00297F1B">
        <w:rPr>
          <w:rFonts w:ascii="Times New Roman" w:eastAsiaTheme="minorHAnsi" w:hAnsi="Times New Roman" w:cs="Times New Roman"/>
          <w:b/>
          <w:bCs/>
          <w:lang w:val="id-ID" w:eastAsia="en-US"/>
        </w:rPr>
        <w:t>Kolektivitas Dalam Proses Pencapaian Tujuan</w:t>
      </w:r>
    </w:p>
    <w:p w14:paraId="253F1A33" w14:textId="00DCE4C2" w:rsidR="00C60367" w:rsidRDefault="00C60367" w:rsidP="004D5DD4">
      <w:pPr>
        <w:spacing w:after="0" w:line="240" w:lineRule="auto"/>
        <w:ind w:firstLine="720"/>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 xml:space="preserve">Penjabaran di atas menunjukan bahwa program IBM dilakukan secara sistemik melibatkan beberapa aktor. BNN sebagai </w:t>
      </w:r>
      <w:r w:rsidRPr="00F864D7">
        <w:rPr>
          <w:rFonts w:ascii="Times New Roman" w:eastAsiaTheme="minorHAnsi" w:hAnsi="Times New Roman" w:cs="Times New Roman"/>
          <w:i/>
          <w:iCs/>
          <w:lang w:val="id-ID" w:eastAsia="en-US"/>
        </w:rPr>
        <w:t>leading institution</w:t>
      </w:r>
      <w:r w:rsidRPr="005F17B2">
        <w:rPr>
          <w:rFonts w:ascii="Times New Roman" w:eastAsiaTheme="minorHAnsi" w:hAnsi="Times New Roman" w:cs="Times New Roman"/>
          <w:lang w:val="id-ID" w:eastAsia="en-US"/>
        </w:rPr>
        <w:t xml:space="preserve"> telah melakukan upaya untuk menyatukan nilai melalui sebuah forum yang diimplementasikan ke dalam tindakan oleh masing-masing aktor publik </w:t>
      </w:r>
      <w:r w:rsidRPr="005F17B2">
        <w:rPr>
          <w:rFonts w:ascii="Times New Roman" w:eastAsiaTheme="minorHAnsi" w:hAnsi="Times New Roman" w:cs="Times New Roman"/>
          <w:lang w:val="id-ID" w:eastAsia="en-US"/>
        </w:rPr>
        <w:fldChar w:fldCharType="begin" w:fldLock="1"/>
      </w:r>
      <w:r w:rsidRPr="005F17B2">
        <w:rPr>
          <w:rFonts w:ascii="Times New Roman" w:eastAsiaTheme="minorHAnsi" w:hAnsi="Times New Roman" w:cs="Times New Roman"/>
          <w:lang w:val="id-ID" w:eastAsia="en-US"/>
        </w:rPr>
        <w:instrText>ADDIN CSL_CITATION {"citationItems":[{"id":"ITEM-1","itemData":{"DOI":"10.21787/jbp.11.2019.209-217","ISSN":"20854323","abstract":"This research is motivated by the SATRIA CSR (Corporate Social Responsibility) Forum in Banyumas Regency which involves various parties such as local governments, companies, academics, NGOs, and mass media that collaborate in supporting regional development through CSR. Therefore, this paper aims to describe in-depth the governance of the SATRIA CSR Forum in Banyumas Regency in the perspective of collaborative governance. This research uses a qualitative method with a phenomenological approach. The research location was in Banyumas Regency, with the target of the research consisting of government elements, private elements, mass media elements, NGOs, the community, and academics. The selection of informants was carried out using purposive sampling and snowball sampling techniques. The data analysis method used is the interactive analysis. The results found that the existence of internal and external dialogue was good initial progress in the governance of the SATRIA CSR Forum. Even so, there are still some aspects of CSR Forum governance that have not been maximized, such as stakeholder’s commitment and the business community’s understanding of CSR regulations. Therefore, efforts are needed to get the business community involved in the SATRIA CSR Forum. In this case, the role of local government is one of the keys for the business world to be involved, including by providing understanding to the business community regarding CSR regulations. The results of this study contribute to an understanding of the implementation of collaborative approaches in the context of CSR programs at the local level.","author":[{"dropping-particle":"","family":"Furqoni","given":"Iqtikaful","non-dropping-particle":"","parse-names":false,"suffix":""},{"dropping-particle":"","family":"Rosyadi","given":"Slamet","non-dropping-particle":"","parse-names":false,"suffix":""}],"container-title":"Jurnal Bina Praja","id":"ITEM-1","issue":"21","issued":{"date-parts":[["2019"]]},"page":"209-217","title":"Collaborative Governance in Corporate Social Responsibility Forum in Banyumas Regency","type":"article-journal"},"uris":["http://www.mendeley.com/documents/?uuid=2a81271d-784f-441f-b50f-f411a0ff9827"]}],"mendeley":{"formattedCitation":"(Furqoni &amp; Rosyadi, 2019)","plainTextFormattedCitation":"(Furqoni &amp; Rosyadi, 2019)","previouslyFormattedCitation":"(Furqoni &amp; Rosyadi, 2019)"},"properties":{"noteIndex":0},"schema":"https://github.com/citation-style-language/schema/raw/master/csl-citation.json"}</w:instrText>
      </w:r>
      <w:r w:rsidRPr="005F17B2">
        <w:rPr>
          <w:rFonts w:ascii="Times New Roman" w:eastAsiaTheme="minorHAnsi" w:hAnsi="Times New Roman" w:cs="Times New Roman"/>
          <w:lang w:val="id-ID" w:eastAsia="en-US"/>
        </w:rPr>
        <w:fldChar w:fldCharType="separate"/>
      </w:r>
      <w:r w:rsidRPr="005F17B2">
        <w:rPr>
          <w:rFonts w:ascii="Times New Roman" w:eastAsiaTheme="minorHAnsi" w:hAnsi="Times New Roman" w:cs="Times New Roman"/>
          <w:noProof/>
          <w:lang w:val="id-ID" w:eastAsia="en-US"/>
        </w:rPr>
        <w:t>(Furqoni &amp; Rosyadi, 2019)</w:t>
      </w:r>
      <w:r w:rsidRPr="005F17B2">
        <w:rPr>
          <w:rFonts w:ascii="Times New Roman" w:eastAsiaTheme="minorHAnsi" w:hAnsi="Times New Roman" w:cs="Times New Roman"/>
          <w:lang w:eastAsia="en-US"/>
        </w:rPr>
        <w:fldChar w:fldCharType="end"/>
      </w:r>
      <w:r w:rsidRPr="005F17B2">
        <w:rPr>
          <w:rFonts w:ascii="Times New Roman" w:eastAsiaTheme="minorHAnsi" w:hAnsi="Times New Roman" w:cs="Times New Roman"/>
          <w:lang w:val="id-ID" w:eastAsia="en-US"/>
        </w:rPr>
        <w:t xml:space="preserve">. Konsep teoritis mengenai </w:t>
      </w:r>
      <w:r w:rsidRPr="00F864D7">
        <w:rPr>
          <w:rFonts w:ascii="Times New Roman" w:eastAsiaTheme="minorHAnsi" w:hAnsi="Times New Roman" w:cs="Times New Roman"/>
          <w:i/>
          <w:iCs/>
          <w:lang w:val="id-ID" w:eastAsia="en-US"/>
        </w:rPr>
        <w:t>collaborative governance</w:t>
      </w:r>
      <w:r w:rsidRPr="005F17B2">
        <w:rPr>
          <w:rFonts w:ascii="Times New Roman" w:eastAsiaTheme="minorHAnsi" w:hAnsi="Times New Roman" w:cs="Times New Roman"/>
          <w:lang w:val="id-ID" w:eastAsia="en-US"/>
        </w:rPr>
        <w:t xml:space="preserve"> melalui pemberdayaan masyarakat yang mengintegrasikan modal sosial dapat digunakan untuk menjelaskan secara sederhana dari proses kolaborasi tersebut.</w:t>
      </w:r>
    </w:p>
    <w:p w14:paraId="6512684F" w14:textId="77777777" w:rsidR="00C60367" w:rsidRPr="005F17B2" w:rsidRDefault="00C60367" w:rsidP="004D5DD4">
      <w:pPr>
        <w:numPr>
          <w:ilvl w:val="0"/>
          <w:numId w:val="5"/>
        </w:num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Dialog</w:t>
      </w:r>
    </w:p>
    <w:p w14:paraId="0E388F65" w14:textId="77777777" w:rsidR="00C60367" w:rsidRDefault="00C60367" w:rsidP="004D5DD4">
      <w:p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 xml:space="preserve">Merupakan langkah awal pelaksanaan teknis IBM melalui kegiatan sosialisasi. Sosialisasi adalah kegiatan memberikan informasi kepada masyarakat yang dilakukan agen dengan melibatkan pemerintah lokal, tokoh masyarakat, dan berbagai pihak yang memiliki keterkaitan secara langsung maupun tidak langsung terhadap persoalan narkoba </w:t>
      </w:r>
      <w:r w:rsidRPr="005F17B2">
        <w:rPr>
          <w:rFonts w:ascii="Times New Roman" w:eastAsiaTheme="minorHAnsi" w:hAnsi="Times New Roman" w:cs="Times New Roman"/>
          <w:lang w:val="id-ID" w:eastAsia="en-US"/>
        </w:rPr>
        <w:fldChar w:fldCharType="begin" w:fldLock="1"/>
      </w:r>
      <w:r w:rsidRPr="005F17B2">
        <w:rPr>
          <w:rFonts w:ascii="Times New Roman" w:eastAsiaTheme="minorHAnsi" w:hAnsi="Times New Roman" w:cs="Times New Roman"/>
          <w:lang w:val="id-ID" w:eastAsia="en-US"/>
        </w:rPr>
        <w:instrText>ADDIN CSL_CITATION {"citationItems":[{"id":"ITEM-1","itemData":{"id":"ITEM-1","issued":{"date-parts":[["0"]]},"title":"Layanan Informasi IBM","type":"article"},"uris":["http://www.mendeley.com/documents/?uuid=ee02bc21-f4ba-4886-b04b-4ec984754108"]}],"mendeley":{"formattedCitation":"(&lt;i&gt;Layanan Informasi IBM&lt;/i&gt;, n.d.)","plainTextFormattedCitation":"(Layanan Informasi IBM, n.d.)","previouslyFormattedCitation":"(&lt;i&gt;Layanan Informasi IBM&lt;/i&gt;, n.d.)"},"properties":{"noteIndex":0},"schema":"https://github.com/citation-style-language/schema/raw/master/csl-citation.json"}</w:instrText>
      </w:r>
      <w:r w:rsidRPr="005F17B2">
        <w:rPr>
          <w:rFonts w:ascii="Times New Roman" w:eastAsiaTheme="minorHAnsi" w:hAnsi="Times New Roman" w:cs="Times New Roman"/>
          <w:lang w:val="id-ID" w:eastAsia="en-US"/>
        </w:rPr>
        <w:fldChar w:fldCharType="separate"/>
      </w:r>
      <w:r w:rsidRPr="005F17B2">
        <w:rPr>
          <w:rFonts w:ascii="Times New Roman" w:eastAsiaTheme="minorHAnsi" w:hAnsi="Times New Roman" w:cs="Times New Roman"/>
          <w:noProof/>
          <w:lang w:val="id-ID" w:eastAsia="en-US"/>
        </w:rPr>
        <w:t>(</w:t>
      </w:r>
      <w:r w:rsidRPr="005F17B2">
        <w:rPr>
          <w:rFonts w:ascii="Times New Roman" w:eastAsiaTheme="minorHAnsi" w:hAnsi="Times New Roman" w:cs="Times New Roman"/>
          <w:i/>
          <w:noProof/>
          <w:lang w:val="id-ID" w:eastAsia="en-US"/>
        </w:rPr>
        <w:t>Layanan Informasi IBM</w:t>
      </w:r>
      <w:r w:rsidRPr="005F17B2">
        <w:rPr>
          <w:rFonts w:ascii="Times New Roman" w:eastAsiaTheme="minorHAnsi" w:hAnsi="Times New Roman" w:cs="Times New Roman"/>
          <w:noProof/>
          <w:lang w:val="id-ID" w:eastAsia="en-US"/>
        </w:rPr>
        <w:t>, n.d.)</w:t>
      </w:r>
      <w:r w:rsidRPr="005F17B2">
        <w:rPr>
          <w:rFonts w:ascii="Times New Roman" w:eastAsiaTheme="minorHAnsi" w:hAnsi="Times New Roman" w:cs="Times New Roman"/>
          <w:lang w:eastAsia="en-US"/>
        </w:rPr>
        <w:fldChar w:fldCharType="end"/>
      </w:r>
      <w:r w:rsidRPr="005F17B2">
        <w:rPr>
          <w:rFonts w:ascii="Times New Roman" w:eastAsiaTheme="minorHAnsi" w:hAnsi="Times New Roman" w:cs="Times New Roman"/>
          <w:lang w:val="id-ID" w:eastAsia="en-US"/>
        </w:rPr>
        <w:t>. Tujuannya agar masyarakat memiliki pemahaman yang jelas mengenai manfaat dan pelaksanaan program IBM sehingga dapat memahami dan ikut berkontribusi dalam program IBM.</w:t>
      </w:r>
    </w:p>
    <w:p w14:paraId="2AE1D05D" w14:textId="77777777" w:rsidR="00C60367" w:rsidRDefault="00C60367" w:rsidP="004D5DD4">
      <w:p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Sosialisasi dilaksanakan melalui berbagai forum yang ada di wilayah baik melalui rapat tingkat desa, kumpulan RT/RW, pengajian, dan lain sebagainya. Agen dapat melakukan sosialisasi bersama-sama dengan unsur lainnya seperti bidan desa maupun personil dari Babinsa dan Bhabinkamtibmas.</w:t>
      </w:r>
    </w:p>
    <w:p w14:paraId="34033BE1" w14:textId="77777777" w:rsidR="00C60367" w:rsidRPr="005F17B2" w:rsidRDefault="00C60367" w:rsidP="004D5DD4">
      <w:p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 xml:space="preserve">Melalui dialog, Agen juga melaksanakan kegiatan pemetaan dan penjangkauan. Bertujuan untuk mengidentifikasi gambaran dari penyalahgunaan narkoba di wilayah dan mengajak penyalahguna narkoba untuk mendapatkan layanan rehabilitasi secara persuasif. Agen berkomunikasi dengan tokoh-tokoh kunci untuk menggali informasi dan data yang ada di bawah permukaan. Termasuk untuk mengenali lingkungan sosial penyalahguna, jumlah pengguna, dan lokasi </w:t>
      </w:r>
      <w:r w:rsidRPr="005F17B2">
        <w:rPr>
          <w:rFonts w:ascii="Times New Roman" w:eastAsiaTheme="minorHAnsi" w:hAnsi="Times New Roman" w:cs="Times New Roman"/>
          <w:lang w:val="id-ID" w:eastAsia="en-US"/>
        </w:rPr>
        <w:lastRenderedPageBreak/>
        <w:t xml:space="preserve">penyalahgunaan narkoba </w:t>
      </w:r>
      <w:r w:rsidRPr="005F17B2">
        <w:rPr>
          <w:rFonts w:ascii="Times New Roman" w:eastAsiaTheme="minorHAnsi" w:hAnsi="Times New Roman" w:cs="Times New Roman"/>
          <w:lang w:val="id-ID" w:eastAsia="en-US"/>
        </w:rPr>
        <w:fldChar w:fldCharType="begin" w:fldLock="1"/>
      </w:r>
      <w:r w:rsidRPr="005F17B2">
        <w:rPr>
          <w:rFonts w:ascii="Times New Roman" w:eastAsiaTheme="minorHAnsi" w:hAnsi="Times New Roman" w:cs="Times New Roman"/>
          <w:lang w:val="id-ID" w:eastAsia="en-US"/>
        </w:rPr>
        <w:instrText>ADDIN CSL_CITATION {"citationItems":[{"id":"ITEM-1","itemData":{"author":[{"dropping-particle":"","family":"BNN","given":"","non-dropping-particle":"","parse-names":false,"suffix":""}],"id":"ITEM-1","issued":{"date-parts":[["2021"]]},"title":"Pedoman Pelaksanaan Intervensi Berbasis Masyarakat. Deputi Rehabilitasi","type":"article-journal"},"uris":["http://www.mendeley.com/documents/?uuid=9e493833-b4a9-4823-9875-2e1428e58883"]}],"mendeley":{"formattedCitation":"(BNN, 2021)","plainTextFormattedCitation":"(BNN, 2021)","previouslyFormattedCitation":"(BNN, 2021)"},"properties":{"noteIndex":0},"schema":"https://github.com/citation-style-language/schema/raw/master/csl-citation.json"}</w:instrText>
      </w:r>
      <w:r w:rsidRPr="005F17B2">
        <w:rPr>
          <w:rFonts w:ascii="Times New Roman" w:eastAsiaTheme="minorHAnsi" w:hAnsi="Times New Roman" w:cs="Times New Roman"/>
          <w:lang w:val="id-ID" w:eastAsia="en-US"/>
        </w:rPr>
        <w:fldChar w:fldCharType="separate"/>
      </w:r>
      <w:r w:rsidRPr="005F17B2">
        <w:rPr>
          <w:rFonts w:ascii="Times New Roman" w:eastAsiaTheme="minorHAnsi" w:hAnsi="Times New Roman" w:cs="Times New Roman"/>
          <w:noProof/>
          <w:lang w:val="id-ID" w:eastAsia="en-US"/>
        </w:rPr>
        <w:t>(BNN, 2021)</w:t>
      </w:r>
      <w:r w:rsidRPr="005F17B2">
        <w:rPr>
          <w:rFonts w:ascii="Times New Roman" w:eastAsiaTheme="minorHAnsi" w:hAnsi="Times New Roman" w:cs="Times New Roman"/>
          <w:lang w:eastAsia="en-US"/>
        </w:rPr>
        <w:fldChar w:fldCharType="end"/>
      </w:r>
      <w:r w:rsidRPr="005F17B2">
        <w:rPr>
          <w:rFonts w:ascii="Times New Roman" w:eastAsiaTheme="minorHAnsi" w:hAnsi="Times New Roman" w:cs="Times New Roman"/>
          <w:lang w:val="id-ID" w:eastAsia="en-US"/>
        </w:rPr>
        <w:t xml:space="preserve">. Hasil proses dialog intensif dilanjutkan dengan langkah-langkah teknis layanan rehabilitasi yang dilakukan oleh Agen yang sebelumnya mendapatkan penguatan kapasitas. </w:t>
      </w:r>
    </w:p>
    <w:p w14:paraId="7B1CF423" w14:textId="77777777" w:rsidR="00C60367" w:rsidRPr="005F17B2" w:rsidRDefault="00C60367" w:rsidP="004D5DD4">
      <w:pPr>
        <w:numPr>
          <w:ilvl w:val="0"/>
          <w:numId w:val="5"/>
        </w:num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Membangun Komitmen dan Kepercayaan</w:t>
      </w:r>
    </w:p>
    <w:p w14:paraId="20CED4E8" w14:textId="77777777" w:rsidR="00C60367" w:rsidRDefault="00C60367" w:rsidP="004D5DD4">
      <w:p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 xml:space="preserve">Dalam tata kelola kolaboratif diperlukan kepercayaan para pihak. Membangun kepercayaan adalah proses yang memakan waktu dan memerlukan komitmen jangka panjang </w:t>
      </w:r>
      <w:r w:rsidRPr="005F17B2">
        <w:rPr>
          <w:rFonts w:ascii="Times New Roman" w:eastAsiaTheme="minorHAnsi" w:hAnsi="Times New Roman" w:cs="Times New Roman"/>
          <w:lang w:val="id-ID" w:eastAsia="en-US"/>
        </w:rPr>
        <w:fldChar w:fldCharType="begin" w:fldLock="1"/>
      </w:r>
      <w:r w:rsidRPr="005F17B2">
        <w:rPr>
          <w:rFonts w:ascii="Times New Roman" w:eastAsiaTheme="minorHAnsi" w:hAnsi="Times New Roman" w:cs="Times New Roman"/>
          <w:lang w:val="id-ID" w:eastAsia="en-US"/>
        </w:rPr>
        <w:instrText>ADDIN CSL_CITATION {"citationItems":[{"id":"ITEM-1","itemData":{"DOI":"10.1093/jopart/mum032","ISSN":"10531858","abstract":"Over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author":[{"dropping-particle":"","family":"Ansell","given":"Chris","non-dropping-particle":"","parse-names":false,"suffix":""},{"dropping-particle":"","family":"Gash","given":"Alison","non-dropping-particle":"","parse-names":false,"suffix":""}],"container-title":"Journal of Public Administration Research and Theory","id":"ITEM-1","issue":"4","issued":{"date-parts":[["2008"]]},"page":"543-571","title":"Collaborative governance in theory and practice","type":"article-journal","volume":"18"},"uris":["http://www.mendeley.com/documents/?uuid=deea6a86-dae1-467d-8cc2-003ffbc612ed"]}],"mendeley":{"formattedCitation":"(Ansell &amp; Gash, 2008)","plainTextFormattedCitation":"(Ansell &amp; Gash, 2008)","previouslyFormattedCitation":"(Ansell &amp; Gash, 2008)"},"properties":{"noteIndex":0},"schema":"https://github.com/citation-style-language/schema/raw/master/csl-citation.json"}</w:instrText>
      </w:r>
      <w:r w:rsidRPr="005F17B2">
        <w:rPr>
          <w:rFonts w:ascii="Times New Roman" w:eastAsiaTheme="minorHAnsi" w:hAnsi="Times New Roman" w:cs="Times New Roman"/>
          <w:lang w:val="id-ID" w:eastAsia="en-US"/>
        </w:rPr>
        <w:fldChar w:fldCharType="separate"/>
      </w:r>
      <w:r w:rsidRPr="005F17B2">
        <w:rPr>
          <w:rFonts w:ascii="Times New Roman" w:eastAsiaTheme="minorHAnsi" w:hAnsi="Times New Roman" w:cs="Times New Roman"/>
          <w:noProof/>
          <w:lang w:val="id-ID" w:eastAsia="en-US"/>
        </w:rPr>
        <w:t>(Ansell &amp; Gash, 2008)</w:t>
      </w:r>
      <w:r w:rsidRPr="005F17B2">
        <w:rPr>
          <w:rFonts w:ascii="Times New Roman" w:eastAsiaTheme="minorHAnsi" w:hAnsi="Times New Roman" w:cs="Times New Roman"/>
          <w:lang w:eastAsia="en-US"/>
        </w:rPr>
        <w:fldChar w:fldCharType="end"/>
      </w:r>
      <w:r w:rsidRPr="005F17B2">
        <w:rPr>
          <w:rFonts w:ascii="Times New Roman" w:eastAsiaTheme="minorHAnsi" w:hAnsi="Times New Roman" w:cs="Times New Roman"/>
          <w:lang w:val="id-ID" w:eastAsia="en-US"/>
        </w:rPr>
        <w:t>. Bentuk komitmen dan kepercayaan dalam IBM dapat dilihat pada distribusi kewenangan dan anggaran yang diberikan oleh pemerintah kepada Agen Pemulihan.</w:t>
      </w:r>
    </w:p>
    <w:p w14:paraId="39CA9B3A" w14:textId="77777777" w:rsidR="00C60367" w:rsidRDefault="00C60367" w:rsidP="004D5DD4">
      <w:p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Komitmen dan kepercayaan yang diterima Agen Perubahan dipenuhi dengan realisasi capaian klien rehabilitasi. Pencapaian target menjadi salah satu indikator kuantitatif bagaimana bentuk kepercayaan dan komitmen antar pihak.</w:t>
      </w:r>
    </w:p>
    <w:p w14:paraId="4D6D1D8A" w14:textId="77777777" w:rsidR="00C60367" w:rsidRDefault="00C60367" w:rsidP="004D5DD4">
      <w:p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Namun bangunan komitmen dan kepercayaan ini tidak serta merta terwujud dengan ideal di antara semua pihak. Dalam satu kasus di wilayah IBM, salah satu aktor tidak sepenuhnya memegang prinsip tersebut. Entah karena tidak konsekuen atau oportunis melihat peluang adanya anggaran yang bergulir di wilayah, tindakan dari pemerintah desa cukup mempengaruhi operasional dari IBM.</w:t>
      </w:r>
    </w:p>
    <w:p w14:paraId="56D86837" w14:textId="64A6C829" w:rsidR="00C8046E" w:rsidRPr="009439F1" w:rsidRDefault="00C60367" w:rsidP="004D5DD4">
      <w:pPr>
        <w:spacing w:after="0" w:line="240" w:lineRule="auto"/>
        <w:ind w:left="709"/>
        <w:jc w:val="both"/>
        <w:rPr>
          <w:rFonts w:ascii="Times New Roman" w:eastAsiaTheme="minorHAnsi" w:hAnsi="Times New Roman" w:cs="Times New Roman"/>
          <w:lang w:val="id-ID" w:eastAsia="en-US"/>
        </w:rPr>
      </w:pPr>
      <w:r w:rsidRPr="005F17B2">
        <w:rPr>
          <w:rFonts w:ascii="Times New Roman" w:eastAsiaTheme="minorHAnsi" w:hAnsi="Times New Roman" w:cs="Times New Roman"/>
          <w:lang w:val="id-ID" w:eastAsia="en-US"/>
        </w:rPr>
        <w:t>Dilain wilayah IBM, malah menggambarkan kondisi yang berbeda. Melihat outcome positif yang dihasilkan IBM yang dikerjakan melalui pemberdayaan masyarakat, pemerintah desa memperkuat komitmen dengan memberikan penguatan anggaran melalui APBDes pada tahun depan.</w:t>
      </w:r>
    </w:p>
    <w:p w14:paraId="27BF3373" w14:textId="77777777" w:rsidR="00072BFA" w:rsidRPr="00FF49E0" w:rsidRDefault="00072BFA" w:rsidP="00072BFA">
      <w:pPr>
        <w:autoSpaceDE w:val="0"/>
        <w:autoSpaceDN w:val="0"/>
        <w:adjustRightInd w:val="0"/>
        <w:spacing w:after="0" w:line="240" w:lineRule="auto"/>
        <w:ind w:firstLine="709"/>
        <w:jc w:val="both"/>
        <w:rPr>
          <w:rFonts w:ascii="Times New Roman" w:hAnsi="Times New Roman" w:cs="Times New Roman"/>
          <w:lang w:val="id-ID"/>
        </w:rPr>
      </w:pPr>
    </w:p>
    <w:p w14:paraId="38DB3D16" w14:textId="0FAC0F6C" w:rsidR="001E413B" w:rsidRPr="00FF49E0" w:rsidRDefault="001E413B" w:rsidP="00072BFA">
      <w:pPr>
        <w:tabs>
          <w:tab w:val="left" w:pos="2933"/>
          <w:tab w:val="center" w:pos="3965"/>
        </w:tabs>
        <w:spacing w:after="0" w:line="240" w:lineRule="auto"/>
        <w:jc w:val="center"/>
        <w:rPr>
          <w:rFonts w:asciiTheme="majorBidi" w:eastAsia="Times New Roman" w:hAnsiTheme="majorBidi" w:cstheme="majorBidi"/>
          <w:b/>
          <w:color w:val="0070C0"/>
          <w:lang w:val="id-ID"/>
        </w:rPr>
      </w:pPr>
      <w:r w:rsidRPr="00FF49E0">
        <w:rPr>
          <w:rFonts w:asciiTheme="majorBidi" w:eastAsia="Times New Roman" w:hAnsiTheme="majorBidi" w:cstheme="majorBidi"/>
          <w:b/>
          <w:color w:val="0070C0"/>
          <w:lang w:val="id-ID"/>
        </w:rPr>
        <w:t>KESIMPULAN</w:t>
      </w:r>
    </w:p>
    <w:p w14:paraId="64F35145" w14:textId="77777777" w:rsidR="00F90ABA" w:rsidRPr="00FF49E0" w:rsidRDefault="00F90ABA" w:rsidP="00072BFA">
      <w:pPr>
        <w:tabs>
          <w:tab w:val="left" w:pos="2933"/>
          <w:tab w:val="center" w:pos="3965"/>
        </w:tabs>
        <w:spacing w:after="0" w:line="240" w:lineRule="auto"/>
        <w:jc w:val="center"/>
        <w:rPr>
          <w:rFonts w:asciiTheme="majorBidi" w:eastAsia="Times New Roman" w:hAnsiTheme="majorBidi" w:cstheme="majorBidi"/>
          <w:b/>
          <w:lang w:val="id-ID"/>
        </w:rPr>
      </w:pPr>
    </w:p>
    <w:p w14:paraId="060CE92F" w14:textId="385A601B" w:rsidR="009439F1" w:rsidRDefault="009439F1" w:rsidP="00072BFA">
      <w:pPr>
        <w:spacing w:after="0" w:line="240" w:lineRule="auto"/>
        <w:ind w:firstLine="567"/>
        <w:jc w:val="both"/>
        <w:rPr>
          <w:rFonts w:asciiTheme="majorBidi" w:eastAsia="Times New Roman" w:hAnsiTheme="majorBidi" w:cstheme="majorBidi"/>
          <w:lang w:val="id-ID"/>
        </w:rPr>
      </w:pPr>
      <w:r w:rsidRPr="005F17B2">
        <w:rPr>
          <w:rFonts w:asciiTheme="majorBidi" w:eastAsia="Times New Roman" w:hAnsiTheme="majorBidi" w:cstheme="majorBidi"/>
          <w:lang w:val="id-ID"/>
        </w:rPr>
        <w:t>Penanganan persoalan narkoba melalui kebijakan rehabilitasi mengalami perubahan yang disesuaikan dengan kondisi dan tantangan global. Perubahan kebijakan rehabilitasi didasarkan adanya ketidakefektifan pelaksanaan kebijakan rehabilitasi yang dilaksanakan oleh beberapa kementerian/lembaga. Hasil identifikasi problematika tersebut kemudian menjadi rumusan untuk memodifikasi kebijakan menjadi rehabilitasi berbasis komunal partisipatif. Dengan konsep kebijakan yang berubah tersebut, tata kerja dan proses implementasinya juga turut berubah. Aktor-aktor yang terlibat semakin beragam dan terjadi sharing tugas dan tanggung jawab serta kewenangan di antara para aktor. Keterlibatan nilai-nilai lokal dalam bentuk modal sosial menjadi alat bagi aktor lokal untuk menjalankan perannya.</w:t>
      </w:r>
    </w:p>
    <w:p w14:paraId="29AFEA1E" w14:textId="2745E23D" w:rsidR="009439F1" w:rsidRDefault="009439F1" w:rsidP="00072BFA">
      <w:pPr>
        <w:spacing w:after="0" w:line="240" w:lineRule="auto"/>
        <w:ind w:firstLine="567"/>
        <w:jc w:val="both"/>
        <w:rPr>
          <w:rFonts w:asciiTheme="majorBidi" w:eastAsia="Times New Roman" w:hAnsiTheme="majorBidi" w:cstheme="majorBidi"/>
          <w:lang w:val="id-ID"/>
        </w:rPr>
      </w:pPr>
      <w:r w:rsidRPr="005F17B2">
        <w:rPr>
          <w:rFonts w:asciiTheme="majorBidi" w:eastAsia="Times New Roman" w:hAnsiTheme="majorBidi" w:cstheme="majorBidi"/>
          <w:lang w:val="id-ID"/>
        </w:rPr>
        <w:t xml:space="preserve">Kami sampai pada satu titik kesimpulan bahwa model kebijakan dalam mengatasi persoalan narkoba melalui modal sosial dan pemberdayaan masyarakat menunjukan adanya pijakan konsep-konsep dari </w:t>
      </w:r>
      <w:r w:rsidRPr="005F17B2">
        <w:rPr>
          <w:rFonts w:asciiTheme="majorBidi" w:eastAsia="Times New Roman" w:hAnsiTheme="majorBidi" w:cstheme="majorBidi"/>
          <w:i/>
          <w:iCs/>
          <w:lang w:val="id-ID"/>
        </w:rPr>
        <w:t>collaborative governance</w:t>
      </w:r>
      <w:r w:rsidRPr="005F17B2">
        <w:rPr>
          <w:rFonts w:asciiTheme="majorBidi" w:eastAsia="Times New Roman" w:hAnsiTheme="majorBidi" w:cstheme="majorBidi"/>
          <w:lang w:val="id-ID"/>
        </w:rPr>
        <w:t xml:space="preserve"> walaupun tidak sesempurna dijalankan. Terlihat pada kurangnya keterlibatan aktor dari sektor dunia usaha yang seharusnya bisa diharapkan berkontribusi lebih. Bahkan di lokasi IBM lain menunjukan tidak adanya kolaborasi dari swasta. Kasuistik tersebut tidak lantas melunturkan tidak berjalannya model </w:t>
      </w:r>
      <w:r w:rsidRPr="005F17B2">
        <w:rPr>
          <w:rFonts w:asciiTheme="majorBidi" w:eastAsia="Times New Roman" w:hAnsiTheme="majorBidi" w:cstheme="majorBidi"/>
          <w:i/>
          <w:iCs/>
          <w:lang w:val="id-ID"/>
        </w:rPr>
        <w:t>collaborative governance</w:t>
      </w:r>
      <w:r w:rsidRPr="005F17B2">
        <w:rPr>
          <w:rFonts w:asciiTheme="majorBidi" w:eastAsia="Times New Roman" w:hAnsiTheme="majorBidi" w:cstheme="majorBidi"/>
          <w:lang w:val="id-ID"/>
        </w:rPr>
        <w:t>.</w:t>
      </w:r>
    </w:p>
    <w:p w14:paraId="1D534F91" w14:textId="3ABB92AF" w:rsidR="009439F1" w:rsidRPr="00FF49E0" w:rsidRDefault="009439F1" w:rsidP="00072BFA">
      <w:pPr>
        <w:spacing w:after="0" w:line="240" w:lineRule="auto"/>
        <w:ind w:firstLine="567"/>
        <w:jc w:val="both"/>
        <w:rPr>
          <w:rFonts w:asciiTheme="majorBidi" w:eastAsia="Times New Roman" w:hAnsiTheme="majorBidi" w:cstheme="majorBidi"/>
          <w:lang w:val="id-ID"/>
        </w:rPr>
      </w:pPr>
      <w:r w:rsidRPr="005F17B2">
        <w:rPr>
          <w:rFonts w:asciiTheme="majorBidi" w:eastAsia="Times New Roman" w:hAnsiTheme="majorBidi" w:cstheme="majorBidi"/>
          <w:lang w:val="id-ID"/>
        </w:rPr>
        <w:t>Pemerintah sebagai pemrakarsa kebijakan, keterlibatan lintas sektor, sharing kewenangan, dan adanya konsensus yang dihasilkan melalui forum formal menunjukan beberapa indikator dari tata kelola kolaborasi yang dijalankan dalam mengatasi persoalan publik. Namun ada residu tertinggal dalam model kebijakan collaborative governance. Komitmen dan kepercayaan pada tataran lokal seringnya menjadi penghambat keberlanjutan pelaksanaan program. Adanya relasi kuasa antara pemerintah lokal dengan Agen yang notabene adalah anggota warganya berakibat tersanderanya gerak agen dalam mengelola kegiatan</w:t>
      </w:r>
      <w:r w:rsidRPr="00FF49E0">
        <w:rPr>
          <w:rFonts w:asciiTheme="majorBidi" w:eastAsia="Times New Roman" w:hAnsiTheme="majorBidi" w:cstheme="majorBidi"/>
          <w:lang w:val="id-ID"/>
        </w:rPr>
        <w:t>.</w:t>
      </w:r>
    </w:p>
    <w:p w14:paraId="23B161C5" w14:textId="50DC19C5" w:rsidR="00C8046E" w:rsidRPr="00FF49E0" w:rsidRDefault="009439F1" w:rsidP="009439F1">
      <w:pPr>
        <w:spacing w:after="0" w:line="240" w:lineRule="auto"/>
        <w:ind w:firstLine="567"/>
        <w:jc w:val="both"/>
        <w:rPr>
          <w:rFonts w:asciiTheme="majorBidi" w:eastAsia="Times New Roman" w:hAnsiTheme="majorBidi" w:cstheme="majorBidi"/>
          <w:lang w:val="id-ID"/>
        </w:rPr>
      </w:pPr>
      <w:r w:rsidRPr="005F17B2">
        <w:rPr>
          <w:rFonts w:asciiTheme="majorBidi" w:eastAsia="Times New Roman" w:hAnsiTheme="majorBidi" w:cstheme="majorBidi"/>
          <w:lang w:val="id-ID"/>
        </w:rPr>
        <w:lastRenderedPageBreak/>
        <w:t>Sebagai penutup, diperlukan mekanisme yang lebih mendalam mengenai pengelolaan komitmen dan kepercayaan pada tingkat lokal. Mengingat pemerintah lokal memiliki posisi krusial dalam keberhasilan IBM. Selain itu, perlu intervensi pemerintah terhadap wilayah IBM yang telah selesai untuk menjamin keberlanjutan program rehabilitasi</w:t>
      </w:r>
      <w:r w:rsidRPr="00FF49E0">
        <w:rPr>
          <w:rFonts w:asciiTheme="majorBidi" w:eastAsia="Times New Roman" w:hAnsiTheme="majorBidi" w:cstheme="majorBidi"/>
          <w:lang w:val="id-ID"/>
        </w:rPr>
        <w:t>.</w:t>
      </w:r>
    </w:p>
    <w:p w14:paraId="46EFFE45" w14:textId="77777777" w:rsidR="00D47C77" w:rsidRPr="00FF49E0" w:rsidRDefault="00D47C77" w:rsidP="00D47C77">
      <w:pPr>
        <w:spacing w:after="0" w:line="240" w:lineRule="auto"/>
        <w:ind w:firstLine="567"/>
        <w:jc w:val="both"/>
        <w:rPr>
          <w:rFonts w:asciiTheme="majorBidi" w:eastAsia="Times New Roman" w:hAnsiTheme="majorBidi" w:cstheme="majorBidi"/>
          <w:lang w:val="id-ID"/>
        </w:rPr>
      </w:pPr>
    </w:p>
    <w:p w14:paraId="63F3CBF2" w14:textId="6569B0C1" w:rsidR="00E14C15" w:rsidRDefault="00D635BC" w:rsidP="009439F1">
      <w:pPr>
        <w:spacing w:after="0" w:line="240" w:lineRule="auto"/>
        <w:jc w:val="center"/>
        <w:rPr>
          <w:rFonts w:asciiTheme="majorBidi" w:eastAsia="Times New Roman" w:hAnsiTheme="majorBidi" w:cstheme="majorBidi"/>
          <w:b/>
          <w:color w:val="0070C0"/>
        </w:rPr>
      </w:pPr>
      <w:r>
        <w:rPr>
          <w:rFonts w:asciiTheme="majorBidi" w:eastAsia="Times New Roman" w:hAnsiTheme="majorBidi" w:cstheme="majorBidi"/>
          <w:b/>
          <w:color w:val="0070C0"/>
        </w:rPr>
        <w:t>DAFTAR PUSTAKA</w:t>
      </w:r>
    </w:p>
    <w:p w14:paraId="0DC5FF72" w14:textId="77777777" w:rsidR="009F2138" w:rsidRDefault="009F2138" w:rsidP="009439F1">
      <w:pPr>
        <w:spacing w:after="0" w:line="240" w:lineRule="auto"/>
        <w:jc w:val="center"/>
        <w:rPr>
          <w:rFonts w:asciiTheme="majorBidi" w:eastAsia="Times New Roman" w:hAnsiTheme="majorBidi" w:cstheme="majorBidi"/>
          <w:b/>
          <w:color w:val="0070C0"/>
        </w:rPr>
      </w:pPr>
    </w:p>
    <w:p w14:paraId="498DE992" w14:textId="6D50D165" w:rsidR="009F2138" w:rsidRDefault="00303B9E"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heme="majorBidi" w:eastAsia="Times New Roman" w:hAnsiTheme="majorBidi" w:cstheme="majorBidi"/>
          <w:b/>
          <w:color w:val="0070C0"/>
        </w:rPr>
        <w:fldChar w:fldCharType="begin" w:fldLock="1"/>
      </w:r>
      <w:r>
        <w:rPr>
          <w:rFonts w:asciiTheme="majorBidi" w:eastAsia="Times New Roman" w:hAnsiTheme="majorBidi" w:cstheme="majorBidi"/>
          <w:b/>
          <w:color w:val="0070C0"/>
        </w:rPr>
        <w:instrText xml:space="preserve">ADDIN Mendeley Bibliography CSL_BIBLIOGRAPHY </w:instrText>
      </w:r>
      <w:r>
        <w:rPr>
          <w:rFonts w:asciiTheme="majorBidi" w:eastAsia="Times New Roman" w:hAnsiTheme="majorBidi" w:cstheme="majorBidi"/>
          <w:b/>
          <w:color w:val="0070C0"/>
        </w:rPr>
        <w:fldChar w:fldCharType="separate"/>
      </w:r>
      <w:r w:rsidR="009F2138" w:rsidRPr="009F2138">
        <w:rPr>
          <w:rFonts w:ascii="Times New Roman" w:hAnsi="Times New Roman" w:cs="Times New Roman"/>
          <w:noProof/>
          <w:szCs w:val="24"/>
        </w:rPr>
        <w:t xml:space="preserve">Ahmad, J. (2018). Desain Penelitian Analisis Isi (Content Analysis). </w:t>
      </w:r>
      <w:r w:rsidR="009F2138" w:rsidRPr="009F2138">
        <w:rPr>
          <w:rFonts w:ascii="Times New Roman" w:hAnsi="Times New Roman" w:cs="Times New Roman"/>
          <w:i/>
          <w:iCs/>
          <w:noProof/>
          <w:szCs w:val="24"/>
        </w:rPr>
        <w:t>Jurnal Analisis Isi</w:t>
      </w:r>
      <w:r w:rsidR="009F2138" w:rsidRPr="009F2138">
        <w:rPr>
          <w:rFonts w:ascii="Times New Roman" w:hAnsi="Times New Roman" w:cs="Times New Roman"/>
          <w:noProof/>
          <w:szCs w:val="24"/>
        </w:rPr>
        <w:t xml:space="preserve">, </w:t>
      </w:r>
      <w:r w:rsidR="009F2138" w:rsidRPr="009F2138">
        <w:rPr>
          <w:rFonts w:ascii="Times New Roman" w:hAnsi="Times New Roman" w:cs="Times New Roman"/>
          <w:i/>
          <w:iCs/>
          <w:noProof/>
          <w:szCs w:val="24"/>
        </w:rPr>
        <w:t>5</w:t>
      </w:r>
      <w:r w:rsidR="009F2138" w:rsidRPr="009F2138">
        <w:rPr>
          <w:rFonts w:ascii="Times New Roman" w:hAnsi="Times New Roman" w:cs="Times New Roman"/>
          <w:noProof/>
          <w:szCs w:val="24"/>
        </w:rPr>
        <w:t>(9), 1–20. https://www.academia.edu/download/81413125/DesainPenelitianContentAnalysis_revisedJumalAhmad.pdf</w:t>
      </w:r>
    </w:p>
    <w:p w14:paraId="3CE8731B" w14:textId="3C94ADFF"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E4B85">
        <w:rPr>
          <w:rFonts w:ascii="Times New Roman" w:eastAsiaTheme="minorHAnsi" w:hAnsi="Times New Roman" w:cs="Times New Roman"/>
          <w:lang w:val="id-ID" w:eastAsia="en-US"/>
        </w:rPr>
        <w:t xml:space="preserve">Andhika, L. R. (2019). Pemodelan Kebijakan Publik : Tinjauan Dan Analisis Untuk Risalah Kebijakan Pemerintah ( Public Policy Modeling : Overview and Analysis for Government Policy Brief ). </w:t>
      </w:r>
      <w:r w:rsidRPr="003E4B85">
        <w:rPr>
          <w:rFonts w:ascii="Times New Roman" w:eastAsiaTheme="minorHAnsi" w:hAnsi="Times New Roman" w:cs="Times New Roman"/>
          <w:i/>
          <w:iCs/>
          <w:lang w:val="id-ID" w:eastAsia="en-US"/>
        </w:rPr>
        <w:t>Jurnal Riset Pembangunan</w:t>
      </w:r>
      <w:r w:rsidRPr="003E4B85">
        <w:rPr>
          <w:rFonts w:ascii="Times New Roman" w:eastAsiaTheme="minorHAnsi" w:hAnsi="Times New Roman" w:cs="Times New Roman"/>
          <w:lang w:val="id-ID" w:eastAsia="en-US"/>
        </w:rPr>
        <w:t xml:space="preserve">, </w:t>
      </w:r>
      <w:r w:rsidRPr="003E4B85">
        <w:rPr>
          <w:rFonts w:ascii="Times New Roman" w:eastAsiaTheme="minorHAnsi" w:hAnsi="Times New Roman" w:cs="Times New Roman"/>
          <w:i/>
          <w:iCs/>
          <w:lang w:val="id-ID" w:eastAsia="en-US"/>
        </w:rPr>
        <w:t>2</w:t>
      </w:r>
      <w:r w:rsidRPr="003E4B85">
        <w:rPr>
          <w:rFonts w:ascii="Times New Roman" w:eastAsiaTheme="minorHAnsi" w:hAnsi="Times New Roman" w:cs="Times New Roman"/>
          <w:lang w:val="id-ID" w:eastAsia="en-US"/>
        </w:rPr>
        <w:t>, 22–35</w:t>
      </w:r>
    </w:p>
    <w:p w14:paraId="6446712F"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Ansell, C., &amp; Gash, A. (2008). Collaborative governance in theory and practice. </w:t>
      </w:r>
      <w:r w:rsidRPr="009F2138">
        <w:rPr>
          <w:rFonts w:ascii="Times New Roman" w:hAnsi="Times New Roman" w:cs="Times New Roman"/>
          <w:i/>
          <w:iCs/>
          <w:noProof/>
          <w:szCs w:val="24"/>
        </w:rPr>
        <w:t>Journal of Public Administration Research and Theory</w:t>
      </w:r>
      <w:r w:rsidRPr="009F2138">
        <w:rPr>
          <w:rFonts w:ascii="Times New Roman" w:hAnsi="Times New Roman" w:cs="Times New Roman"/>
          <w:noProof/>
          <w:szCs w:val="24"/>
        </w:rPr>
        <w:t xml:space="preserve">, </w:t>
      </w:r>
      <w:r w:rsidRPr="009F2138">
        <w:rPr>
          <w:rFonts w:ascii="Times New Roman" w:hAnsi="Times New Roman" w:cs="Times New Roman"/>
          <w:i/>
          <w:iCs/>
          <w:noProof/>
          <w:szCs w:val="24"/>
        </w:rPr>
        <w:t>18</w:t>
      </w:r>
      <w:r w:rsidRPr="009F2138">
        <w:rPr>
          <w:rFonts w:ascii="Times New Roman" w:hAnsi="Times New Roman" w:cs="Times New Roman"/>
          <w:noProof/>
          <w:szCs w:val="24"/>
        </w:rPr>
        <w:t>(4), 543–571. https://doi.org/10.1093/jopart/mum032</w:t>
      </w:r>
    </w:p>
    <w:p w14:paraId="7D710E88"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BNN. (2021). </w:t>
      </w:r>
      <w:r w:rsidRPr="009F2138">
        <w:rPr>
          <w:rFonts w:ascii="Times New Roman" w:hAnsi="Times New Roman" w:cs="Times New Roman"/>
          <w:i/>
          <w:iCs/>
          <w:noProof/>
          <w:szCs w:val="24"/>
        </w:rPr>
        <w:t>Pedoman Pelaksanaan Intervensi Berbasis Masyarakat. Deputi Rehabilitasi</w:t>
      </w:r>
      <w:r w:rsidRPr="009F2138">
        <w:rPr>
          <w:rFonts w:ascii="Times New Roman" w:hAnsi="Times New Roman" w:cs="Times New Roman"/>
          <w:noProof/>
          <w:szCs w:val="24"/>
        </w:rPr>
        <w:t>.</w:t>
      </w:r>
    </w:p>
    <w:p w14:paraId="75477E46"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Davies, A. L., &amp; White, R. M. (2012). Collaboration in natural resource governance: Reconciling stakeholder expectations in deer management in Scotland. </w:t>
      </w:r>
      <w:r w:rsidRPr="009F2138">
        <w:rPr>
          <w:rFonts w:ascii="Times New Roman" w:hAnsi="Times New Roman" w:cs="Times New Roman"/>
          <w:i/>
          <w:iCs/>
          <w:noProof/>
          <w:szCs w:val="24"/>
        </w:rPr>
        <w:t>Journal of Environmental Management</w:t>
      </w:r>
      <w:r w:rsidRPr="009F2138">
        <w:rPr>
          <w:rFonts w:ascii="Times New Roman" w:hAnsi="Times New Roman" w:cs="Times New Roman"/>
          <w:noProof/>
          <w:szCs w:val="24"/>
        </w:rPr>
        <w:t xml:space="preserve">, </w:t>
      </w:r>
      <w:r w:rsidRPr="009F2138">
        <w:rPr>
          <w:rFonts w:ascii="Times New Roman" w:hAnsi="Times New Roman" w:cs="Times New Roman"/>
          <w:i/>
          <w:iCs/>
          <w:noProof/>
          <w:szCs w:val="24"/>
        </w:rPr>
        <w:t>112</w:t>
      </w:r>
      <w:r w:rsidRPr="009F2138">
        <w:rPr>
          <w:rFonts w:ascii="Times New Roman" w:hAnsi="Times New Roman" w:cs="Times New Roman"/>
          <w:noProof/>
          <w:szCs w:val="24"/>
        </w:rPr>
        <w:t>, 160–169. https://doi.org/10.1016/j.jenvman.2012.07.032</w:t>
      </w:r>
    </w:p>
    <w:p w14:paraId="52C441D5"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Fathy, R. (2019). Modal Sosial: Konsep, Inklusivitas dan Pemberdayaan Masyarakat. </w:t>
      </w:r>
      <w:r w:rsidRPr="009F2138">
        <w:rPr>
          <w:rFonts w:ascii="Times New Roman" w:hAnsi="Times New Roman" w:cs="Times New Roman"/>
          <w:i/>
          <w:iCs/>
          <w:noProof/>
          <w:szCs w:val="24"/>
        </w:rPr>
        <w:t>Jurnal Pemikiran Sosiologi</w:t>
      </w:r>
      <w:r w:rsidRPr="009F2138">
        <w:rPr>
          <w:rFonts w:ascii="Times New Roman" w:hAnsi="Times New Roman" w:cs="Times New Roman"/>
          <w:noProof/>
          <w:szCs w:val="24"/>
        </w:rPr>
        <w:t xml:space="preserve">, </w:t>
      </w:r>
      <w:r w:rsidRPr="009F2138">
        <w:rPr>
          <w:rFonts w:ascii="Times New Roman" w:hAnsi="Times New Roman" w:cs="Times New Roman"/>
          <w:i/>
          <w:iCs/>
          <w:noProof/>
          <w:szCs w:val="24"/>
        </w:rPr>
        <w:t>6</w:t>
      </w:r>
      <w:r w:rsidRPr="009F2138">
        <w:rPr>
          <w:rFonts w:ascii="Times New Roman" w:hAnsi="Times New Roman" w:cs="Times New Roman"/>
          <w:noProof/>
          <w:szCs w:val="24"/>
        </w:rPr>
        <w:t>(1), 1. https://doi.org/10.22146/jps.v6i1.47463</w:t>
      </w:r>
    </w:p>
    <w:p w14:paraId="4E1E72B4"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Fukuyama, F. (1996). </w:t>
      </w:r>
      <w:r w:rsidRPr="009F2138">
        <w:rPr>
          <w:rFonts w:ascii="Times New Roman" w:hAnsi="Times New Roman" w:cs="Times New Roman"/>
          <w:i/>
          <w:iCs/>
          <w:noProof/>
          <w:szCs w:val="24"/>
        </w:rPr>
        <w:t>Trust: The social virtues and the creation of prosperity</w:t>
      </w:r>
      <w:r w:rsidRPr="009F2138">
        <w:rPr>
          <w:rFonts w:ascii="Times New Roman" w:hAnsi="Times New Roman" w:cs="Times New Roman"/>
          <w:noProof/>
          <w:szCs w:val="24"/>
        </w:rPr>
        <w:t>. Simon and Schuster.</w:t>
      </w:r>
    </w:p>
    <w:p w14:paraId="01233391"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Furqoni, I., &amp; Rosyadi, S. (2019). Collaborative Governance in Corporate Social Responsibility Forum in Banyumas Regency. </w:t>
      </w:r>
      <w:r w:rsidRPr="009F2138">
        <w:rPr>
          <w:rFonts w:ascii="Times New Roman" w:hAnsi="Times New Roman" w:cs="Times New Roman"/>
          <w:i/>
          <w:iCs/>
          <w:noProof/>
          <w:szCs w:val="24"/>
        </w:rPr>
        <w:t>Jurnal Bina Praja</w:t>
      </w:r>
      <w:r w:rsidRPr="009F2138">
        <w:rPr>
          <w:rFonts w:ascii="Times New Roman" w:hAnsi="Times New Roman" w:cs="Times New Roman"/>
          <w:noProof/>
          <w:szCs w:val="24"/>
        </w:rPr>
        <w:t xml:space="preserve">, </w:t>
      </w:r>
      <w:r w:rsidRPr="009F2138">
        <w:rPr>
          <w:rFonts w:ascii="Times New Roman" w:hAnsi="Times New Roman" w:cs="Times New Roman"/>
          <w:i/>
          <w:iCs/>
          <w:noProof/>
          <w:szCs w:val="24"/>
        </w:rPr>
        <w:t>21</w:t>
      </w:r>
      <w:r w:rsidRPr="009F2138">
        <w:rPr>
          <w:rFonts w:ascii="Times New Roman" w:hAnsi="Times New Roman" w:cs="Times New Roman"/>
          <w:noProof/>
          <w:szCs w:val="24"/>
        </w:rPr>
        <w:t>, 209–217. https://doi.org/10.21787/jbp.11.2019.209-217</w:t>
      </w:r>
    </w:p>
    <w:p w14:paraId="3E7E02CA" w14:textId="77777777" w:rsidR="009F2138" w:rsidRPr="00FF49E0"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lang w:val="pt-BR"/>
        </w:rPr>
      </w:pPr>
      <w:r w:rsidRPr="009F2138">
        <w:rPr>
          <w:rFonts w:ascii="Times New Roman" w:hAnsi="Times New Roman" w:cs="Times New Roman"/>
          <w:noProof/>
          <w:szCs w:val="24"/>
        </w:rPr>
        <w:t xml:space="preserve">Gunawan, G. (2016). Dekriminalisasi Pecandu Narkotika: Pergeseran Pendekatan Dan Implikasi Kebijakan Penanganan Pecandu Narkotika Di Indonesia. </w:t>
      </w:r>
      <w:r w:rsidRPr="00FF49E0">
        <w:rPr>
          <w:rFonts w:ascii="Times New Roman" w:hAnsi="Times New Roman" w:cs="Times New Roman"/>
          <w:i/>
          <w:iCs/>
          <w:noProof/>
          <w:szCs w:val="24"/>
          <w:lang w:val="pt-BR"/>
        </w:rPr>
        <w:t>Sosio Informa</w:t>
      </w:r>
      <w:r w:rsidRPr="00FF49E0">
        <w:rPr>
          <w:rFonts w:ascii="Times New Roman" w:hAnsi="Times New Roman" w:cs="Times New Roman"/>
          <w:noProof/>
          <w:szCs w:val="24"/>
          <w:lang w:val="pt-BR"/>
        </w:rPr>
        <w:t xml:space="preserve">, </w:t>
      </w:r>
      <w:r w:rsidRPr="00FF49E0">
        <w:rPr>
          <w:rFonts w:ascii="Times New Roman" w:hAnsi="Times New Roman" w:cs="Times New Roman"/>
          <w:i/>
          <w:iCs/>
          <w:noProof/>
          <w:szCs w:val="24"/>
          <w:lang w:val="pt-BR"/>
        </w:rPr>
        <w:t>2</w:t>
      </w:r>
      <w:r w:rsidRPr="00FF49E0">
        <w:rPr>
          <w:rFonts w:ascii="Times New Roman" w:hAnsi="Times New Roman" w:cs="Times New Roman"/>
          <w:noProof/>
          <w:szCs w:val="24"/>
          <w:lang w:val="pt-BR"/>
        </w:rPr>
        <w:t>(3), 239–258. https://doi.org/10.33007/inf.v2i3.339</w:t>
      </w:r>
    </w:p>
    <w:p w14:paraId="033DD34F" w14:textId="77777777" w:rsidR="009F2138" w:rsidRPr="00FF49E0"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lang w:val="pt-BR"/>
        </w:rPr>
      </w:pPr>
      <w:r w:rsidRPr="00FF49E0">
        <w:rPr>
          <w:rFonts w:ascii="Times New Roman" w:hAnsi="Times New Roman" w:cs="Times New Roman"/>
          <w:i/>
          <w:iCs/>
          <w:noProof/>
          <w:szCs w:val="24"/>
          <w:lang w:val="pt-BR"/>
        </w:rPr>
        <w:t>IDR-2022.pdf</w:t>
      </w:r>
      <w:r w:rsidRPr="00FF49E0">
        <w:rPr>
          <w:rFonts w:ascii="Times New Roman" w:hAnsi="Times New Roman" w:cs="Times New Roman"/>
          <w:noProof/>
          <w:szCs w:val="24"/>
          <w:lang w:val="pt-BR"/>
        </w:rPr>
        <w:t>. (n.d.).</w:t>
      </w:r>
    </w:p>
    <w:p w14:paraId="55A7246E" w14:textId="082D77AA" w:rsidR="004D5DD4" w:rsidRDefault="004D5DD4"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03E83">
        <w:rPr>
          <w:rFonts w:ascii="Times New Roman" w:eastAsiaTheme="minorHAnsi" w:hAnsi="Times New Roman" w:cs="Times New Roman"/>
          <w:lang w:val="id-ID" w:eastAsia="en-US"/>
        </w:rPr>
        <w:t xml:space="preserve">Kusbandrijo, B. (2020, August 30). Apa itu Collaborative governance. </w:t>
      </w:r>
      <w:hyperlink r:id="rId9" w:history="1">
        <w:r w:rsidRPr="00503E83">
          <w:rPr>
            <w:rStyle w:val="Hyperlink"/>
            <w:rFonts w:ascii="Times New Roman" w:eastAsiaTheme="minorHAnsi" w:hAnsi="Times New Roman" w:cs="Times New Roman"/>
            <w:lang w:val="id-ID" w:eastAsia="en-US"/>
          </w:rPr>
          <w:t>https://publik.untag-sby.ac.id/berita-76-apa-itu-collaborative-governance-.html</w:t>
        </w:r>
      </w:hyperlink>
    </w:p>
    <w:p w14:paraId="75E0270F"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i/>
          <w:iCs/>
          <w:noProof/>
          <w:szCs w:val="24"/>
        </w:rPr>
        <w:t>Layanan Informasi IBM</w:t>
      </w:r>
      <w:r w:rsidRPr="009F2138">
        <w:rPr>
          <w:rFonts w:ascii="Times New Roman" w:hAnsi="Times New Roman" w:cs="Times New Roman"/>
          <w:noProof/>
          <w:szCs w:val="24"/>
        </w:rPr>
        <w:t>. (n.d.).</w:t>
      </w:r>
    </w:p>
    <w:p w14:paraId="33474E7B"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Maryani, D., &amp; Nainggolan, R. R. E. (2019). </w:t>
      </w:r>
      <w:r w:rsidRPr="009F2138">
        <w:rPr>
          <w:rFonts w:ascii="Times New Roman" w:hAnsi="Times New Roman" w:cs="Times New Roman"/>
          <w:i/>
          <w:iCs/>
          <w:noProof/>
          <w:szCs w:val="24"/>
        </w:rPr>
        <w:t>Pemberdayaan masyarakat</w:t>
      </w:r>
      <w:r w:rsidRPr="009F2138">
        <w:rPr>
          <w:rFonts w:ascii="Times New Roman" w:hAnsi="Times New Roman" w:cs="Times New Roman"/>
          <w:noProof/>
          <w:szCs w:val="24"/>
        </w:rPr>
        <w:t>. Deepublish.</w:t>
      </w:r>
    </w:p>
    <w:p w14:paraId="3554CD54" w14:textId="1155CD7C" w:rsidR="004D5DD4" w:rsidRDefault="004D5DD4"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03E83">
        <w:rPr>
          <w:rFonts w:ascii="Times New Roman" w:eastAsiaTheme="minorHAnsi" w:hAnsi="Times New Roman" w:cs="Times New Roman"/>
          <w:lang w:val="id-ID" w:eastAsia="en-US"/>
        </w:rPr>
        <w:t xml:space="preserve">Mungkasa, O. (2020, July 7). </w:t>
      </w:r>
      <w:r w:rsidRPr="00503E83">
        <w:rPr>
          <w:rFonts w:ascii="Times New Roman" w:eastAsiaTheme="minorHAnsi" w:hAnsi="Times New Roman" w:cs="Times New Roman"/>
          <w:i/>
          <w:iCs/>
          <w:lang w:val="id-ID" w:eastAsia="en-US"/>
        </w:rPr>
        <w:t>Tata Kelola Kolaboratif : Menata Kolaborasi Pemangku Kepentingan</w:t>
      </w:r>
      <w:r w:rsidRPr="00503E83">
        <w:rPr>
          <w:rFonts w:ascii="Times New Roman" w:eastAsiaTheme="minorHAnsi" w:hAnsi="Times New Roman" w:cs="Times New Roman"/>
          <w:lang w:val="id-ID" w:eastAsia="en-US"/>
        </w:rPr>
        <w:t xml:space="preserve">. </w:t>
      </w:r>
      <w:hyperlink r:id="rId10" w:history="1">
        <w:r w:rsidRPr="00503E83">
          <w:rPr>
            <w:rStyle w:val="Hyperlink"/>
            <w:rFonts w:ascii="Times New Roman" w:eastAsiaTheme="minorHAnsi" w:hAnsi="Times New Roman" w:cs="Times New Roman"/>
            <w:lang w:val="id-ID" w:eastAsia="en-US"/>
          </w:rPr>
          <w:t>https://issuu.com/oswarmungkasa/docs/tata_kelola_kolaboratif_240620_finalom</w:t>
        </w:r>
      </w:hyperlink>
    </w:p>
    <w:p w14:paraId="587E5074" w14:textId="00E1453E" w:rsidR="004D5DD4" w:rsidRDefault="004D5DD4"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4299F">
        <w:rPr>
          <w:rFonts w:ascii="Times New Roman" w:eastAsiaTheme="minorHAnsi" w:hAnsi="Times New Roman" w:cs="Times New Roman"/>
          <w:lang w:val="id-ID" w:eastAsia="en-US"/>
        </w:rPr>
        <w:t>Muslih Faozanudin dkk, (2022). Pemberdayaan Masyarakat Dialektika Partisipasi Publik dan Pembangunan</w:t>
      </w:r>
    </w:p>
    <w:p w14:paraId="519AA1F8"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Ombudsman. (2018). </w:t>
      </w:r>
      <w:r w:rsidRPr="009F2138">
        <w:rPr>
          <w:rFonts w:ascii="Times New Roman" w:hAnsi="Times New Roman" w:cs="Times New Roman"/>
          <w:i/>
          <w:iCs/>
          <w:noProof/>
          <w:szCs w:val="24"/>
        </w:rPr>
        <w:t>Ombudsman: Program Rehabilitasi 100 Ribu Pencandu Narkoba Tak Efektif</w:t>
      </w:r>
      <w:r w:rsidRPr="009F2138">
        <w:rPr>
          <w:rFonts w:ascii="Times New Roman" w:hAnsi="Times New Roman" w:cs="Times New Roman"/>
          <w:noProof/>
          <w:szCs w:val="24"/>
        </w:rPr>
        <w:t>. https://ombudsman.go.id/news/r/ombudsman-program-rehabilitasi-100-ribu-pencandu-narkoba-tak-efektif</w:t>
      </w:r>
    </w:p>
    <w:p w14:paraId="34448667"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Pemasyarakatan, D. J. (2023). </w:t>
      </w:r>
      <w:r w:rsidRPr="009F2138">
        <w:rPr>
          <w:rFonts w:ascii="Times New Roman" w:hAnsi="Times New Roman" w:cs="Times New Roman"/>
          <w:i/>
          <w:iCs/>
          <w:noProof/>
          <w:szCs w:val="24"/>
        </w:rPr>
        <w:t>Laporan Jumlah Penghuni Khusus</w:t>
      </w:r>
      <w:r w:rsidRPr="009F2138">
        <w:rPr>
          <w:rFonts w:ascii="Times New Roman" w:hAnsi="Times New Roman" w:cs="Times New Roman"/>
          <w:noProof/>
          <w:szCs w:val="24"/>
        </w:rPr>
        <w:t>. https://sdppublik.ditjenpas.go.id/analisa/laporan-penghuni-khusus-2019</w:t>
      </w:r>
    </w:p>
    <w:p w14:paraId="43E4F90E"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PP12/2022, UUD/1945, UU23/2014, &amp; UU11/2020. (2022). Peraturan Pemerintah Republik Indonesia Nomor 12 Tahun 2022 Tentang Forum Koordinasi Pimpinan Di </w:t>
      </w:r>
      <w:r w:rsidRPr="009F2138">
        <w:rPr>
          <w:rFonts w:ascii="Times New Roman" w:hAnsi="Times New Roman" w:cs="Times New Roman"/>
          <w:noProof/>
          <w:szCs w:val="24"/>
        </w:rPr>
        <w:lastRenderedPageBreak/>
        <w:t xml:space="preserve">Daerah. </w:t>
      </w:r>
      <w:r w:rsidRPr="009F2138">
        <w:rPr>
          <w:rFonts w:ascii="Times New Roman" w:hAnsi="Times New Roman" w:cs="Times New Roman"/>
          <w:i/>
          <w:iCs/>
          <w:noProof/>
          <w:szCs w:val="24"/>
        </w:rPr>
        <w:t>Pemerintah Republik Indonesia</w:t>
      </w:r>
      <w:r w:rsidRPr="009F2138">
        <w:rPr>
          <w:rFonts w:ascii="Times New Roman" w:hAnsi="Times New Roman" w:cs="Times New Roman"/>
          <w:noProof/>
          <w:szCs w:val="24"/>
        </w:rPr>
        <w:t xml:space="preserve">, </w:t>
      </w:r>
      <w:r w:rsidRPr="009F2138">
        <w:rPr>
          <w:rFonts w:ascii="Times New Roman" w:hAnsi="Times New Roman" w:cs="Times New Roman"/>
          <w:i/>
          <w:iCs/>
          <w:noProof/>
          <w:szCs w:val="24"/>
        </w:rPr>
        <w:t>12</w:t>
      </w:r>
      <w:r w:rsidRPr="009F2138">
        <w:rPr>
          <w:rFonts w:ascii="Times New Roman" w:hAnsi="Times New Roman" w:cs="Times New Roman"/>
          <w:noProof/>
          <w:szCs w:val="24"/>
        </w:rPr>
        <w:t>. https://jdih.setkab.go.id/PUUdoc/176667/Salinan_PP_Nomor_12_Tahun_2022.pdf</w:t>
      </w:r>
    </w:p>
    <w:p w14:paraId="0046C4E2" w14:textId="35FBCA60" w:rsidR="004D5DD4" w:rsidRDefault="004D5DD4" w:rsidP="009F2138">
      <w:pPr>
        <w:widowControl w:val="0"/>
        <w:autoSpaceDE w:val="0"/>
        <w:autoSpaceDN w:val="0"/>
        <w:adjustRightInd w:val="0"/>
        <w:spacing w:after="0" w:line="240" w:lineRule="auto"/>
        <w:ind w:left="480" w:hanging="480"/>
        <w:jc w:val="both"/>
        <w:rPr>
          <w:rFonts w:ascii="Times New Roman" w:eastAsiaTheme="minorHAnsi" w:hAnsi="Times New Roman" w:cs="Times New Roman"/>
          <w:lang w:val="id-ID" w:eastAsia="en-US"/>
        </w:rPr>
      </w:pPr>
      <w:r w:rsidRPr="00503E83">
        <w:rPr>
          <w:rFonts w:ascii="Times New Roman" w:eastAsiaTheme="minorHAnsi" w:hAnsi="Times New Roman" w:cs="Times New Roman"/>
          <w:lang w:val="id-ID" w:eastAsia="en-US"/>
        </w:rPr>
        <w:t xml:space="preserve">Purwo Santoso. (2010). Modul Pembelajaran Analisis Kebijakan Publik. In Utan Parlindungan (Ed.), </w:t>
      </w:r>
      <w:r w:rsidRPr="00503E83">
        <w:rPr>
          <w:rFonts w:ascii="Times New Roman" w:eastAsiaTheme="minorHAnsi" w:hAnsi="Times New Roman" w:cs="Times New Roman"/>
          <w:i/>
          <w:iCs/>
          <w:lang w:val="id-ID" w:eastAsia="en-US"/>
        </w:rPr>
        <w:t>Kebijakan Publik</w:t>
      </w:r>
      <w:r w:rsidRPr="00503E83">
        <w:rPr>
          <w:rFonts w:ascii="Times New Roman" w:eastAsiaTheme="minorHAnsi" w:hAnsi="Times New Roman" w:cs="Times New Roman"/>
          <w:lang w:val="id-ID" w:eastAsia="en-US"/>
        </w:rPr>
        <w:t>. Research Center for Politics and Government (PolGov-UGM).</w:t>
      </w:r>
    </w:p>
    <w:p w14:paraId="3EAA753E" w14:textId="2C6097E0" w:rsidR="004D5DD4" w:rsidRPr="00FF49E0" w:rsidRDefault="004D5DD4" w:rsidP="009F2138">
      <w:pPr>
        <w:widowControl w:val="0"/>
        <w:autoSpaceDE w:val="0"/>
        <w:autoSpaceDN w:val="0"/>
        <w:adjustRightInd w:val="0"/>
        <w:spacing w:after="0" w:line="240" w:lineRule="auto"/>
        <w:ind w:left="480" w:hanging="480"/>
        <w:jc w:val="both"/>
        <w:rPr>
          <w:rFonts w:ascii="Times New Roman" w:hAnsi="Times New Roman" w:cs="Times New Roman"/>
          <w:noProof/>
          <w:szCs w:val="24"/>
          <w:lang w:val="pt-BR"/>
        </w:rPr>
      </w:pPr>
      <w:r w:rsidRPr="00503E83">
        <w:rPr>
          <w:rFonts w:ascii="Times New Roman" w:eastAsiaTheme="minorHAnsi" w:hAnsi="Times New Roman" w:cs="Times New Roman"/>
          <w:lang w:val="id-ID" w:eastAsia="en-US"/>
        </w:rPr>
        <w:t xml:space="preserve">Pusiknas Polri. </w:t>
      </w:r>
      <w:r w:rsidRPr="00503E83">
        <w:rPr>
          <w:rFonts w:ascii="Times New Roman" w:eastAsiaTheme="minorHAnsi" w:hAnsi="Times New Roman" w:cs="Times New Roman"/>
          <w:i/>
          <w:iCs/>
          <w:lang w:val="id-ID" w:eastAsia="en-US"/>
        </w:rPr>
        <w:t>Rilis 2022: Indonesia Pasar Potensial Jaringan Narkoba</w:t>
      </w:r>
      <w:r w:rsidRPr="00503E83">
        <w:rPr>
          <w:rFonts w:ascii="Times New Roman" w:eastAsiaTheme="minorHAnsi" w:hAnsi="Times New Roman" w:cs="Times New Roman"/>
          <w:lang w:val="id-ID" w:eastAsia="en-US"/>
        </w:rPr>
        <w:t xml:space="preserve">. </w:t>
      </w:r>
      <w:hyperlink r:id="rId11" w:anchor=":~:text=Sepanjang%202022%2C%20Polri%20mengungkap%2039.709,di%202021%20sebanyak%2040.320%20perkara" w:history="1">
        <w:r w:rsidRPr="00503E83">
          <w:rPr>
            <w:rStyle w:val="Hyperlink"/>
            <w:rFonts w:ascii="Times New Roman" w:eastAsiaTheme="minorHAnsi" w:hAnsi="Times New Roman" w:cs="Times New Roman"/>
            <w:lang w:val="id-ID" w:eastAsia="en-US"/>
          </w:rPr>
          <w:t>https://pusiknas.polri.go.id/detail_artikel/rilis_2022:_indonesia_pasar_potensial_jaringan_narkoba#:~:text=Sepanjang%202022%2C%20Polri%20mengungkap%2039.709,di%202021%20sebanyak%2040.320%20perkara</w:t>
        </w:r>
      </w:hyperlink>
      <w:r w:rsidRPr="00503E83">
        <w:rPr>
          <w:rFonts w:ascii="Times New Roman" w:eastAsiaTheme="minorHAnsi" w:hAnsi="Times New Roman" w:cs="Times New Roman"/>
          <w:lang w:val="id-ID" w:eastAsia="en-US"/>
        </w:rPr>
        <w:t>.</w:t>
      </w:r>
    </w:p>
    <w:p w14:paraId="42336D8B"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Rosyadi, S., Sabiq, A., Ahmad, A. A., &amp; Nuryanti. (2022). The Indonesian Government Capacity in Responding to the COVID-19 Impacts on the Creative Economy Sector. </w:t>
      </w:r>
      <w:r w:rsidRPr="009F2138">
        <w:rPr>
          <w:rFonts w:ascii="Times New Roman" w:hAnsi="Times New Roman" w:cs="Times New Roman"/>
          <w:i/>
          <w:iCs/>
          <w:noProof/>
          <w:szCs w:val="24"/>
        </w:rPr>
        <w:t>SAGE Open</w:t>
      </w:r>
      <w:r w:rsidRPr="009F2138">
        <w:rPr>
          <w:rFonts w:ascii="Times New Roman" w:hAnsi="Times New Roman" w:cs="Times New Roman"/>
          <w:noProof/>
          <w:szCs w:val="24"/>
        </w:rPr>
        <w:t xml:space="preserve">, </w:t>
      </w:r>
      <w:r w:rsidRPr="009F2138">
        <w:rPr>
          <w:rFonts w:ascii="Times New Roman" w:hAnsi="Times New Roman" w:cs="Times New Roman"/>
          <w:i/>
          <w:iCs/>
          <w:noProof/>
          <w:szCs w:val="24"/>
        </w:rPr>
        <w:t>12</w:t>
      </w:r>
      <w:r w:rsidRPr="009F2138">
        <w:rPr>
          <w:rFonts w:ascii="Times New Roman" w:hAnsi="Times New Roman" w:cs="Times New Roman"/>
          <w:noProof/>
          <w:szCs w:val="24"/>
        </w:rPr>
        <w:t>(2), 1–16. https://doi.org/10.1177/21582440221105820</w:t>
      </w:r>
    </w:p>
    <w:p w14:paraId="49FE5712" w14:textId="77777777" w:rsid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2138">
        <w:rPr>
          <w:rFonts w:ascii="Times New Roman" w:hAnsi="Times New Roman" w:cs="Times New Roman"/>
          <w:noProof/>
          <w:szCs w:val="24"/>
        </w:rPr>
        <w:t xml:space="preserve">Sekretariat, K. (2023). </w:t>
      </w:r>
      <w:r w:rsidRPr="009F2138">
        <w:rPr>
          <w:rFonts w:ascii="Times New Roman" w:hAnsi="Times New Roman" w:cs="Times New Roman"/>
          <w:i/>
          <w:iCs/>
          <w:noProof/>
          <w:szCs w:val="24"/>
        </w:rPr>
        <w:t>Penanggulangan Bahaya Narkotika Melalui Rehabilitasi</w:t>
      </w:r>
      <w:r w:rsidRPr="009F2138">
        <w:rPr>
          <w:rFonts w:ascii="Times New Roman" w:hAnsi="Times New Roman" w:cs="Times New Roman"/>
          <w:noProof/>
          <w:szCs w:val="24"/>
        </w:rPr>
        <w:t>. https://setkab.go.id/penanggulangan-bahaya-narkotika-melalui-rehabilitasi/</w:t>
      </w:r>
    </w:p>
    <w:p w14:paraId="3D5F24C2" w14:textId="77777777" w:rsidR="009F2138" w:rsidRPr="009F2138" w:rsidRDefault="009F2138" w:rsidP="009F2138">
      <w:pPr>
        <w:widowControl w:val="0"/>
        <w:autoSpaceDE w:val="0"/>
        <w:autoSpaceDN w:val="0"/>
        <w:adjustRightInd w:val="0"/>
        <w:spacing w:after="0" w:line="240" w:lineRule="auto"/>
        <w:ind w:left="480" w:hanging="480"/>
        <w:jc w:val="both"/>
        <w:rPr>
          <w:rFonts w:ascii="Times New Roman" w:hAnsi="Times New Roman" w:cs="Times New Roman"/>
          <w:noProof/>
        </w:rPr>
      </w:pPr>
      <w:r w:rsidRPr="009F2138">
        <w:rPr>
          <w:rFonts w:ascii="Times New Roman" w:hAnsi="Times New Roman" w:cs="Times New Roman"/>
          <w:noProof/>
          <w:szCs w:val="24"/>
        </w:rPr>
        <w:t xml:space="preserve">Syahra, R. (2003). Modal sosial: Konsep dan aplikasi. </w:t>
      </w:r>
      <w:r w:rsidRPr="009F2138">
        <w:rPr>
          <w:rFonts w:ascii="Times New Roman" w:hAnsi="Times New Roman" w:cs="Times New Roman"/>
          <w:i/>
          <w:iCs/>
          <w:noProof/>
          <w:szCs w:val="24"/>
        </w:rPr>
        <w:t>Jurnal Masyarakat Dan Budaya</w:t>
      </w:r>
      <w:r w:rsidRPr="009F2138">
        <w:rPr>
          <w:rFonts w:ascii="Times New Roman" w:hAnsi="Times New Roman" w:cs="Times New Roman"/>
          <w:noProof/>
          <w:szCs w:val="24"/>
        </w:rPr>
        <w:t xml:space="preserve">, </w:t>
      </w:r>
      <w:r w:rsidRPr="009F2138">
        <w:rPr>
          <w:rFonts w:ascii="Times New Roman" w:hAnsi="Times New Roman" w:cs="Times New Roman"/>
          <w:i/>
          <w:iCs/>
          <w:noProof/>
          <w:szCs w:val="24"/>
        </w:rPr>
        <w:t>5</w:t>
      </w:r>
      <w:r w:rsidRPr="009F2138">
        <w:rPr>
          <w:rFonts w:ascii="Times New Roman" w:hAnsi="Times New Roman" w:cs="Times New Roman"/>
          <w:noProof/>
          <w:szCs w:val="24"/>
        </w:rPr>
        <w:t>(1), 1–22. http://www.jurnalmasyarakatdanbudaya.com/index.php/jmb/article/view/256</w:t>
      </w:r>
    </w:p>
    <w:p w14:paraId="2D916B42" w14:textId="235FBD2B" w:rsidR="00303B9E" w:rsidRPr="009439F1" w:rsidRDefault="00303B9E" w:rsidP="009439F1">
      <w:pPr>
        <w:spacing w:after="0" w:line="240" w:lineRule="auto"/>
        <w:jc w:val="center"/>
        <w:rPr>
          <w:rFonts w:asciiTheme="majorBidi" w:eastAsia="Times New Roman" w:hAnsiTheme="majorBidi" w:cstheme="majorBidi"/>
          <w:b/>
          <w:color w:val="0070C0"/>
        </w:rPr>
      </w:pPr>
      <w:r>
        <w:rPr>
          <w:rFonts w:asciiTheme="majorBidi" w:eastAsia="Times New Roman" w:hAnsiTheme="majorBidi" w:cstheme="majorBidi"/>
          <w:b/>
          <w:color w:val="0070C0"/>
        </w:rPr>
        <w:fldChar w:fldCharType="end"/>
      </w:r>
    </w:p>
    <w:p w14:paraId="4627BD7C" w14:textId="77777777" w:rsidR="00406530" w:rsidRPr="005276BF" w:rsidRDefault="00406530" w:rsidP="00072BFA">
      <w:pPr>
        <w:widowControl w:val="0"/>
        <w:autoSpaceDE w:val="0"/>
        <w:autoSpaceDN w:val="0"/>
        <w:adjustRightInd w:val="0"/>
        <w:spacing w:after="0" w:line="240" w:lineRule="auto"/>
        <w:jc w:val="both"/>
        <w:rPr>
          <w:rFonts w:ascii="Times New Roman" w:hAnsi="Times New Roman" w:cs="Times New Roman"/>
          <w:b/>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6E1F78" w14:paraId="7E856A5E" w14:textId="77777777" w:rsidTr="00072BFA">
        <w:trPr>
          <w:trHeight w:val="982"/>
        </w:trPr>
        <w:tc>
          <w:tcPr>
            <w:tcW w:w="7913" w:type="dxa"/>
          </w:tcPr>
          <w:p w14:paraId="0815AFB6" w14:textId="34CFE5F1" w:rsidR="00A97E5F" w:rsidRPr="006E1F78" w:rsidRDefault="00322CE4"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r w:rsidRPr="006E1F78">
              <w:rPr>
                <w:rFonts w:asciiTheme="majorBidi" w:eastAsia="Times New Roman" w:hAnsiTheme="majorBidi"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6E1F78" w:rsidRDefault="00C746A1"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p>
          <w:p w14:paraId="073B06ED" w14:textId="1F43741E" w:rsidR="00E96360" w:rsidRPr="006E1F78" w:rsidRDefault="00322CE4" w:rsidP="00F84A14">
            <w:pPr>
              <w:widowControl w:val="0"/>
              <w:autoSpaceDE w:val="0"/>
              <w:autoSpaceDN w:val="0"/>
              <w:adjustRightInd w:val="0"/>
              <w:spacing w:after="0" w:line="240" w:lineRule="auto"/>
              <w:jc w:val="center"/>
              <w:rPr>
                <w:rFonts w:asciiTheme="majorBidi" w:eastAsia="Times New Roman" w:hAnsiTheme="majorBidi" w:cstheme="majorBidi"/>
                <w:color w:val="76923C" w:themeColor="accent3" w:themeShade="BF"/>
              </w:rPr>
            </w:pPr>
            <w:r w:rsidRPr="00E16DA0">
              <w:rPr>
                <w:rStyle w:val="cc-license-title"/>
                <w:rFonts w:asciiTheme="majorBidi" w:eastAsiaTheme="majorEastAsia" w:hAnsiTheme="majorBidi" w:cstheme="majorBidi"/>
                <w:b/>
                <w:bCs/>
                <w:color w:val="0070C0"/>
              </w:rPr>
              <w:t xml:space="preserve">This work is licensed under a </w:t>
            </w:r>
            <w:hyperlink r:id="rId14" w:history="1">
              <w:r w:rsidRPr="006E1F78">
                <w:rPr>
                  <w:rStyle w:val="Hyperlink"/>
                  <w:rFonts w:asciiTheme="majorBidi" w:eastAsiaTheme="majorEastAsia" w:hAnsiTheme="majorBidi" w:cstheme="majorBidi"/>
                  <w:b/>
                  <w:bCs/>
                  <w:color w:val="000000" w:themeColor="text1"/>
                  <w:u w:val="none"/>
                </w:rPr>
                <w:t>Creative Commons Attribution-ShareAlike 4.0 International License</w:t>
              </w:r>
            </w:hyperlink>
          </w:p>
        </w:tc>
      </w:tr>
    </w:tbl>
    <w:p w14:paraId="1D1C68E6" w14:textId="51B5BAF9" w:rsidR="00C746A1" w:rsidRPr="006E1F78" w:rsidRDefault="00C746A1" w:rsidP="00F84A14">
      <w:pPr>
        <w:widowControl w:val="0"/>
        <w:autoSpaceDE w:val="0"/>
        <w:autoSpaceDN w:val="0"/>
        <w:adjustRightInd w:val="0"/>
        <w:spacing w:after="0" w:line="240" w:lineRule="auto"/>
        <w:jc w:val="both"/>
        <w:rPr>
          <w:rFonts w:asciiTheme="majorBidi" w:eastAsia="Times New Roman" w:hAnsiTheme="majorBidi" w:cstheme="majorBidi"/>
        </w:rPr>
      </w:pPr>
    </w:p>
    <w:sectPr w:rsidR="00C746A1" w:rsidRPr="006E1F78" w:rsidSect="00FF49E0">
      <w:headerReference w:type="even" r:id="rId15"/>
      <w:headerReference w:type="default" r:id="rId16"/>
      <w:footerReference w:type="even" r:id="rId17"/>
      <w:footerReference w:type="default" r:id="rId18"/>
      <w:headerReference w:type="first" r:id="rId19"/>
      <w:footerReference w:type="first" r:id="rId20"/>
      <w:pgSz w:w="11906" w:h="16838"/>
      <w:pgMar w:top="2268" w:right="1701" w:bottom="1701" w:left="2268" w:header="709" w:footer="709" w:gutter="0"/>
      <w:pgNumType w:start="83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9452" w14:textId="77777777" w:rsidR="008A04EE" w:rsidRDefault="008A04EE">
      <w:pPr>
        <w:spacing w:after="0" w:line="240" w:lineRule="auto"/>
      </w:pPr>
      <w:r>
        <w:separator/>
      </w:r>
    </w:p>
  </w:endnote>
  <w:endnote w:type="continuationSeparator" w:id="0">
    <w:p w14:paraId="48E5A001" w14:textId="77777777" w:rsidR="008A04EE" w:rsidRDefault="008A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5A45" w14:textId="4442642E" w:rsidR="00FF49E0" w:rsidRDefault="00FF49E0" w:rsidP="00FF49E0">
    <w:pPr>
      <w:pStyle w:val="Footer"/>
      <w:rPr>
        <w:rFonts w:ascii="Times New Roman" w:eastAsia="Times New Roman" w:hAnsi="Times New Roman" w:cs="Times New Roman"/>
        <w:b/>
        <w:sz w:val="24"/>
        <w:szCs w:val="24"/>
        <w:lang w:val="id-ID"/>
      </w:rPr>
    </w:pPr>
    <w:r w:rsidRPr="00FF49E0">
      <w:rPr>
        <w:rFonts w:ascii="Times New Roman" w:eastAsia="Times New Roman" w:hAnsi="Times New Roman" w:cs="Times New Roman"/>
        <w:b/>
        <w:sz w:val="24"/>
        <w:szCs w:val="24"/>
        <w:lang w:val="id-ID"/>
      </w:rPr>
      <w:t>Tony Gunawan, Denok Kurniasih, Tobirin</w:t>
    </w:r>
  </w:p>
  <w:p w14:paraId="757D1410" w14:textId="0C2C96C6" w:rsidR="003965CE" w:rsidRPr="00FF49E0" w:rsidRDefault="00FF49E0" w:rsidP="00FF49E0">
    <w:pPr>
      <w:pStyle w:val="Footer"/>
      <w:jc w:val="right"/>
    </w:pPr>
    <w:r>
      <w:t xml:space="preserve"> </w:t>
    </w:r>
    <w:sdt>
      <w:sdtPr>
        <w:id w:val="-1195423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826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55153"/>
      <w:docPartObj>
        <w:docPartGallery w:val="Page Numbers (Bottom of Page)"/>
        <w:docPartUnique/>
      </w:docPartObj>
    </w:sdtPr>
    <w:sdtContent>
      <w:p w14:paraId="02AFB6CB" w14:textId="77777777" w:rsidR="00FF49E0" w:rsidRDefault="00FF49E0" w:rsidP="00FF49E0">
        <w:pPr>
          <w:pStyle w:val="Footer"/>
          <w:framePr w:wrap="none" w:vAnchor="text" w:hAnchor="page" w:x="2264"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821</w:t>
        </w:r>
        <w:r>
          <w:rPr>
            <w:rStyle w:val="PageNumber"/>
          </w:rPr>
          <w:fldChar w:fldCharType="end"/>
        </w:r>
      </w:p>
    </w:sdtContent>
  </w:sdt>
  <w:p w14:paraId="7678E1F2" w14:textId="2D9EBE45" w:rsidR="003965CE" w:rsidRPr="00FF49E0" w:rsidRDefault="00FF49E0" w:rsidP="00FF49E0">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753767"/>
      <w:docPartObj>
        <w:docPartGallery w:val="Page Numbers (Bottom of Page)"/>
        <w:docPartUnique/>
      </w:docPartObj>
    </w:sdtPr>
    <w:sdtContent>
      <w:p w14:paraId="6F436237" w14:textId="77777777" w:rsidR="00FF49E0" w:rsidRDefault="00FF49E0" w:rsidP="00FF49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817</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EB21" w14:textId="77777777" w:rsidR="008A04EE" w:rsidRDefault="008A04EE">
      <w:pPr>
        <w:spacing w:after="0" w:line="240" w:lineRule="auto"/>
      </w:pPr>
      <w:r>
        <w:separator/>
      </w:r>
    </w:p>
  </w:footnote>
  <w:footnote w:type="continuationSeparator" w:id="0">
    <w:p w14:paraId="33AD1B4F" w14:textId="77777777" w:rsidR="008A04EE" w:rsidRDefault="008A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FF49E0" w14:paraId="65D977F2" w14:textId="77777777" w:rsidTr="003500D5">
      <w:trPr>
        <w:trHeight w:val="288"/>
      </w:trPr>
      <w:tc>
        <w:tcPr>
          <w:tcW w:w="5870" w:type="dxa"/>
          <w:tcBorders>
            <w:top w:val="nil"/>
            <w:left w:val="nil"/>
            <w:bottom w:val="single" w:sz="18" w:space="0" w:color="808080"/>
            <w:right w:val="single" w:sz="18" w:space="0" w:color="808080"/>
          </w:tcBorders>
          <w:hideMark/>
        </w:tcPr>
        <w:p w14:paraId="7F28BDC1" w14:textId="7E22CDEA" w:rsidR="00FF49E0" w:rsidRPr="00FF49E0" w:rsidRDefault="00FF49E0" w:rsidP="00FF49E0">
          <w:pPr>
            <w:tabs>
              <w:tab w:val="center" w:pos="4513"/>
              <w:tab w:val="right" w:pos="9026"/>
            </w:tabs>
            <w:spacing w:after="0" w:line="240" w:lineRule="auto"/>
            <w:jc w:val="both"/>
            <w:rPr>
              <w:rFonts w:ascii="Times New Roman" w:eastAsia="Times New Roman" w:hAnsi="Times New Roman" w:cs="Times New Roman"/>
              <w:bCs/>
              <w:iCs/>
              <w:color w:val="000000"/>
              <w:sz w:val="24"/>
              <w:szCs w:val="24"/>
            </w:rPr>
          </w:pPr>
          <w:r w:rsidRPr="00FF49E0">
            <w:rPr>
              <w:rFonts w:ascii="Times New Roman" w:eastAsia="Times New Roman" w:hAnsi="Times New Roman" w:cs="Times New Roman"/>
              <w:bCs/>
              <w:iCs/>
              <w:color w:val="000000"/>
              <w:sz w:val="24"/>
              <w:szCs w:val="24"/>
            </w:rPr>
            <w:t>Intervensi Berbasis Masyarakat;</w:t>
          </w:r>
          <w:r>
            <w:rPr>
              <w:rFonts w:ascii="Times New Roman" w:eastAsia="Times New Roman" w:hAnsi="Times New Roman" w:cs="Times New Roman"/>
              <w:bCs/>
              <w:iCs/>
              <w:color w:val="000000"/>
              <w:sz w:val="24"/>
              <w:szCs w:val="24"/>
            </w:rPr>
            <w:t xml:space="preserve"> </w:t>
          </w:r>
          <w:r w:rsidRPr="00FF49E0">
            <w:rPr>
              <w:rFonts w:ascii="Times New Roman" w:eastAsia="Times New Roman" w:hAnsi="Times New Roman" w:cs="Times New Roman"/>
              <w:bCs/>
              <w:iCs/>
              <w:color w:val="000000"/>
              <w:sz w:val="24"/>
              <w:szCs w:val="24"/>
            </w:rPr>
            <w:t>Collaborative Governance Dalam Penanganan Rehabilitasi Narkoba</w:t>
          </w:r>
        </w:p>
      </w:tc>
      <w:tc>
        <w:tcPr>
          <w:tcW w:w="2065" w:type="dxa"/>
          <w:tcBorders>
            <w:top w:val="nil"/>
            <w:left w:val="single" w:sz="18" w:space="0" w:color="808080"/>
            <w:bottom w:val="single" w:sz="18" w:space="0" w:color="808080"/>
            <w:right w:val="nil"/>
          </w:tcBorders>
          <w:hideMark/>
        </w:tcPr>
        <w:p w14:paraId="5904983D" w14:textId="77777777" w:rsidR="00FF49E0" w:rsidRPr="0015352B" w:rsidRDefault="00FF49E0" w:rsidP="00FF49E0">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20513135" w14:textId="77777777" w:rsidR="00FF49E0" w:rsidRPr="0015352B" w:rsidRDefault="00FF49E0" w:rsidP="00FF49E0">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32AF" w14:textId="77777777" w:rsidR="00FF49E0" w:rsidRPr="00E353A0" w:rsidRDefault="00FF49E0" w:rsidP="00FF49E0">
    <w:pPr>
      <w:pStyle w:val="Header"/>
      <w:jc w:val="right"/>
    </w:pPr>
    <w:r>
      <w:rPr>
        <w:rFonts w:asciiTheme="majorBidi" w:hAnsiTheme="majorBidi" w:cstheme="majorBidi"/>
        <w:b/>
        <w:bCs/>
        <w:i/>
        <w:iCs/>
        <w:color w:val="000000"/>
        <w:sz w:val="24"/>
        <w:szCs w:val="24"/>
      </w:rPr>
      <w:t xml:space="preserve">Vol. 14, No. 7, Desember, 2023 </w:t>
    </w:r>
  </w:p>
  <w:p w14:paraId="3209F657" w14:textId="77777777" w:rsidR="003965CE" w:rsidRDefault="00396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FF49E0" w:rsidRPr="001278DB" w14:paraId="5357EEBC" w14:textId="77777777" w:rsidTr="003500D5">
      <w:trPr>
        <w:trHeight w:val="954"/>
      </w:trPr>
      <w:tc>
        <w:tcPr>
          <w:tcW w:w="8028" w:type="dxa"/>
          <w:hideMark/>
        </w:tcPr>
        <w:p w14:paraId="0D049905" w14:textId="77777777" w:rsidR="00FF49E0" w:rsidRPr="001278DB" w:rsidRDefault="00FF49E0" w:rsidP="00FF49E0">
          <w:pPr>
            <w:pStyle w:val="Header"/>
            <w:rPr>
              <w:b/>
            </w:rPr>
          </w:pPr>
          <w:r w:rsidRPr="001278DB">
            <w:rPr>
              <w:i/>
              <w:iCs/>
              <w:noProof/>
              <w:lang w:eastAsia="en-US"/>
            </w:rPr>
            <w:drawing>
              <wp:anchor distT="0" distB="0" distL="114300" distR="114300" simplePos="0" relativeHeight="251659264" behindDoc="1" locked="0" layoutInCell="1" allowOverlap="1" wp14:anchorId="4C287639" wp14:editId="474C3881">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Co-Value: Jurnal Ekonomi, Koperasi &amp; Kewirausahaan</w:t>
          </w:r>
        </w:p>
        <w:p w14:paraId="046F108A" w14:textId="77777777" w:rsidR="00FF49E0" w:rsidRPr="001278DB" w:rsidRDefault="00FF49E0" w:rsidP="00FF49E0">
          <w:pPr>
            <w:pStyle w:val="Header"/>
            <w:rPr>
              <w:i/>
              <w:iCs/>
            </w:rPr>
          </w:pPr>
          <w:r>
            <w:rPr>
              <w:i/>
              <w:iCs/>
            </w:rPr>
            <w:t>Volume 14</w:t>
          </w:r>
          <w:r w:rsidRPr="001278DB">
            <w:rPr>
              <w:i/>
              <w:iCs/>
            </w:rPr>
            <w:t xml:space="preserve">, </w:t>
          </w:r>
          <w:r>
            <w:rPr>
              <w:i/>
              <w:iCs/>
            </w:rPr>
            <w:t>Nomor 7 Desember 2023</w:t>
          </w:r>
        </w:p>
        <w:p w14:paraId="33DA28B1" w14:textId="77777777" w:rsidR="00FF49E0" w:rsidRPr="001278DB" w:rsidRDefault="00FF49E0" w:rsidP="00FF49E0">
          <w:pPr>
            <w:pStyle w:val="Header"/>
          </w:pPr>
          <w:r w:rsidRPr="00CC7BE0">
            <w:t>p-ISSN: 2086-3306 e-ISSN: 2809-8862</w:t>
          </w:r>
        </w:p>
      </w:tc>
    </w:tr>
    <w:tr w:rsidR="00FF49E0" w:rsidRPr="001278DB" w14:paraId="7B4CCB84" w14:textId="77777777" w:rsidTr="003500D5">
      <w:trPr>
        <w:trHeight w:val="286"/>
      </w:trPr>
      <w:tc>
        <w:tcPr>
          <w:tcW w:w="8028" w:type="dxa"/>
        </w:tcPr>
        <w:p w14:paraId="6F6E735E" w14:textId="77777777" w:rsidR="00FF49E0" w:rsidRPr="001278DB" w:rsidRDefault="00FF49E0" w:rsidP="00FF49E0">
          <w:pPr>
            <w:pStyle w:val="Header"/>
          </w:pPr>
        </w:p>
      </w:tc>
    </w:tr>
  </w:tbl>
  <w:p w14:paraId="688C64A5" w14:textId="3F027CDF" w:rsidR="00072BFA" w:rsidRPr="00072BFA" w:rsidRDefault="00072BFA" w:rsidP="00072B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5FA4"/>
    <w:multiLevelType w:val="hybridMultilevel"/>
    <w:tmpl w:val="7EEA62B0"/>
    <w:lvl w:ilvl="0" w:tplc="38090017">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48913539"/>
    <w:multiLevelType w:val="hybridMultilevel"/>
    <w:tmpl w:val="E3CE012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54A57887"/>
    <w:multiLevelType w:val="hybridMultilevel"/>
    <w:tmpl w:val="65F4D226"/>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 w15:restartNumberingAfterBreak="0">
    <w:nsid w:val="5563049B"/>
    <w:multiLevelType w:val="hybridMultilevel"/>
    <w:tmpl w:val="A6603B60"/>
    <w:lvl w:ilvl="0" w:tplc="3809000F">
      <w:start w:val="1"/>
      <w:numFmt w:val="decimal"/>
      <w:lvlText w:val="%1."/>
      <w:lvlJc w:val="left"/>
      <w:pPr>
        <w:ind w:left="720" w:hanging="360"/>
      </w:pPr>
      <w:rPr>
        <w:rFonts w:hint="default"/>
      </w:rPr>
    </w:lvl>
    <w:lvl w:ilvl="1" w:tplc="38090017">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4862C4E"/>
    <w:multiLevelType w:val="hybridMultilevel"/>
    <w:tmpl w:val="C33EB8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D7B5B67"/>
    <w:multiLevelType w:val="hybridMultilevel"/>
    <w:tmpl w:val="5DFE6AC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031801260">
    <w:abstractNumId w:val="4"/>
  </w:num>
  <w:num w:numId="2" w16cid:durableId="1933050771">
    <w:abstractNumId w:val="3"/>
  </w:num>
  <w:num w:numId="3" w16cid:durableId="505293337">
    <w:abstractNumId w:val="2"/>
  </w:num>
  <w:num w:numId="4" w16cid:durableId="73940498">
    <w:abstractNumId w:val="0"/>
  </w:num>
  <w:num w:numId="5" w16cid:durableId="905066334">
    <w:abstractNumId w:val="5"/>
  </w:num>
  <w:num w:numId="6" w16cid:durableId="2339723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cyNDUzMTU0NTRW0lEKTi0uzszPAykwrQUAuV1aTywAAAA="/>
  </w:docVars>
  <w:rsids>
    <w:rsidRoot w:val="00054BF1"/>
    <w:rsid w:val="00000F2F"/>
    <w:rsid w:val="00000FFD"/>
    <w:rsid w:val="0000305A"/>
    <w:rsid w:val="00003821"/>
    <w:rsid w:val="00004343"/>
    <w:rsid w:val="000170E0"/>
    <w:rsid w:val="000173CC"/>
    <w:rsid w:val="00017521"/>
    <w:rsid w:val="00032DBB"/>
    <w:rsid w:val="00033BBB"/>
    <w:rsid w:val="00034622"/>
    <w:rsid w:val="00035347"/>
    <w:rsid w:val="00042FEC"/>
    <w:rsid w:val="000442E6"/>
    <w:rsid w:val="0004591D"/>
    <w:rsid w:val="00051F64"/>
    <w:rsid w:val="00052C2F"/>
    <w:rsid w:val="000530B5"/>
    <w:rsid w:val="0005318D"/>
    <w:rsid w:val="00053E41"/>
    <w:rsid w:val="00054BF1"/>
    <w:rsid w:val="00055DBC"/>
    <w:rsid w:val="00062238"/>
    <w:rsid w:val="0006390A"/>
    <w:rsid w:val="000729A5"/>
    <w:rsid w:val="00072BFA"/>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13A7"/>
    <w:rsid w:val="000E2224"/>
    <w:rsid w:val="000E631C"/>
    <w:rsid w:val="000E6624"/>
    <w:rsid w:val="0010244D"/>
    <w:rsid w:val="001033F0"/>
    <w:rsid w:val="00104F38"/>
    <w:rsid w:val="00113EF9"/>
    <w:rsid w:val="0011404E"/>
    <w:rsid w:val="00117663"/>
    <w:rsid w:val="00120D3A"/>
    <w:rsid w:val="001231F1"/>
    <w:rsid w:val="001260DD"/>
    <w:rsid w:val="00126383"/>
    <w:rsid w:val="001278DB"/>
    <w:rsid w:val="0013347E"/>
    <w:rsid w:val="00140400"/>
    <w:rsid w:val="00142B14"/>
    <w:rsid w:val="001531F2"/>
    <w:rsid w:val="001537BC"/>
    <w:rsid w:val="00154238"/>
    <w:rsid w:val="00163328"/>
    <w:rsid w:val="0017433A"/>
    <w:rsid w:val="001769D8"/>
    <w:rsid w:val="00177A69"/>
    <w:rsid w:val="0018251D"/>
    <w:rsid w:val="001847F2"/>
    <w:rsid w:val="0018480F"/>
    <w:rsid w:val="00186096"/>
    <w:rsid w:val="00186DE9"/>
    <w:rsid w:val="00187CAA"/>
    <w:rsid w:val="00190FA5"/>
    <w:rsid w:val="001910F9"/>
    <w:rsid w:val="00194A8E"/>
    <w:rsid w:val="00194D7A"/>
    <w:rsid w:val="001A1B99"/>
    <w:rsid w:val="001A2315"/>
    <w:rsid w:val="001A3A1B"/>
    <w:rsid w:val="001B0105"/>
    <w:rsid w:val="001B32FA"/>
    <w:rsid w:val="001C206E"/>
    <w:rsid w:val="001C2A18"/>
    <w:rsid w:val="001C2AA2"/>
    <w:rsid w:val="001C2D1A"/>
    <w:rsid w:val="001C3513"/>
    <w:rsid w:val="001C4D27"/>
    <w:rsid w:val="001D1BF6"/>
    <w:rsid w:val="001D40BD"/>
    <w:rsid w:val="001D46F0"/>
    <w:rsid w:val="001E11F6"/>
    <w:rsid w:val="001E413B"/>
    <w:rsid w:val="001E5866"/>
    <w:rsid w:val="001F44D6"/>
    <w:rsid w:val="001F4F4D"/>
    <w:rsid w:val="001F53FE"/>
    <w:rsid w:val="001F617B"/>
    <w:rsid w:val="001F70DF"/>
    <w:rsid w:val="001F7EC1"/>
    <w:rsid w:val="002019B6"/>
    <w:rsid w:val="00203F0B"/>
    <w:rsid w:val="0020660D"/>
    <w:rsid w:val="0020697B"/>
    <w:rsid w:val="00206C25"/>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830D3"/>
    <w:rsid w:val="00285113"/>
    <w:rsid w:val="002925B4"/>
    <w:rsid w:val="002932F4"/>
    <w:rsid w:val="00293C73"/>
    <w:rsid w:val="00296AA7"/>
    <w:rsid w:val="00296DC1"/>
    <w:rsid w:val="00296F7C"/>
    <w:rsid w:val="00297F1B"/>
    <w:rsid w:val="002A020E"/>
    <w:rsid w:val="002A0B73"/>
    <w:rsid w:val="002A19DA"/>
    <w:rsid w:val="002A356C"/>
    <w:rsid w:val="002A54E5"/>
    <w:rsid w:val="002A5871"/>
    <w:rsid w:val="002A7DAB"/>
    <w:rsid w:val="002B0D7D"/>
    <w:rsid w:val="002B2F8A"/>
    <w:rsid w:val="002B308A"/>
    <w:rsid w:val="002B6664"/>
    <w:rsid w:val="002B6AC3"/>
    <w:rsid w:val="002D143C"/>
    <w:rsid w:val="002D1B74"/>
    <w:rsid w:val="002D3641"/>
    <w:rsid w:val="002E07A0"/>
    <w:rsid w:val="002E6A69"/>
    <w:rsid w:val="002E7ED3"/>
    <w:rsid w:val="002F44F6"/>
    <w:rsid w:val="002F5BB0"/>
    <w:rsid w:val="002F7968"/>
    <w:rsid w:val="002F7E62"/>
    <w:rsid w:val="00303B9E"/>
    <w:rsid w:val="0030676D"/>
    <w:rsid w:val="00307682"/>
    <w:rsid w:val="00312E7B"/>
    <w:rsid w:val="00313216"/>
    <w:rsid w:val="00313BA9"/>
    <w:rsid w:val="00314251"/>
    <w:rsid w:val="0032028D"/>
    <w:rsid w:val="0032069E"/>
    <w:rsid w:val="0032245F"/>
    <w:rsid w:val="00322CE4"/>
    <w:rsid w:val="003250C3"/>
    <w:rsid w:val="00331426"/>
    <w:rsid w:val="003328DF"/>
    <w:rsid w:val="00332BBD"/>
    <w:rsid w:val="003378B5"/>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C53"/>
    <w:rsid w:val="003640ED"/>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5CE"/>
    <w:rsid w:val="00396791"/>
    <w:rsid w:val="003A0368"/>
    <w:rsid w:val="003A154F"/>
    <w:rsid w:val="003A2EDB"/>
    <w:rsid w:val="003A5F78"/>
    <w:rsid w:val="003B306C"/>
    <w:rsid w:val="003B6890"/>
    <w:rsid w:val="003B7B22"/>
    <w:rsid w:val="003C49FA"/>
    <w:rsid w:val="003C5FE3"/>
    <w:rsid w:val="003C72A1"/>
    <w:rsid w:val="003D12EF"/>
    <w:rsid w:val="003E214D"/>
    <w:rsid w:val="003E3166"/>
    <w:rsid w:val="003E79D3"/>
    <w:rsid w:val="003F0B25"/>
    <w:rsid w:val="003F42D3"/>
    <w:rsid w:val="003F58CC"/>
    <w:rsid w:val="003F6268"/>
    <w:rsid w:val="00400409"/>
    <w:rsid w:val="00402B65"/>
    <w:rsid w:val="00405D06"/>
    <w:rsid w:val="00406530"/>
    <w:rsid w:val="0040667E"/>
    <w:rsid w:val="0040683E"/>
    <w:rsid w:val="00411BD5"/>
    <w:rsid w:val="00413968"/>
    <w:rsid w:val="004146A4"/>
    <w:rsid w:val="00415196"/>
    <w:rsid w:val="004166F8"/>
    <w:rsid w:val="004167C3"/>
    <w:rsid w:val="00416C51"/>
    <w:rsid w:val="0042185F"/>
    <w:rsid w:val="00421ADD"/>
    <w:rsid w:val="00432855"/>
    <w:rsid w:val="00433DD9"/>
    <w:rsid w:val="0043578A"/>
    <w:rsid w:val="00437FDC"/>
    <w:rsid w:val="00440D79"/>
    <w:rsid w:val="0044162E"/>
    <w:rsid w:val="00446C17"/>
    <w:rsid w:val="004472E7"/>
    <w:rsid w:val="004516EB"/>
    <w:rsid w:val="00452282"/>
    <w:rsid w:val="0045314B"/>
    <w:rsid w:val="00454066"/>
    <w:rsid w:val="004549B7"/>
    <w:rsid w:val="00456C75"/>
    <w:rsid w:val="00462C33"/>
    <w:rsid w:val="004632DC"/>
    <w:rsid w:val="004634BC"/>
    <w:rsid w:val="00463BE7"/>
    <w:rsid w:val="004640A3"/>
    <w:rsid w:val="00465A2C"/>
    <w:rsid w:val="00467F47"/>
    <w:rsid w:val="00471EBF"/>
    <w:rsid w:val="00483A4A"/>
    <w:rsid w:val="0048409F"/>
    <w:rsid w:val="00484889"/>
    <w:rsid w:val="004920C8"/>
    <w:rsid w:val="004A498A"/>
    <w:rsid w:val="004A576B"/>
    <w:rsid w:val="004B1CE1"/>
    <w:rsid w:val="004B2833"/>
    <w:rsid w:val="004B2B05"/>
    <w:rsid w:val="004B63DC"/>
    <w:rsid w:val="004B6706"/>
    <w:rsid w:val="004B7A8C"/>
    <w:rsid w:val="004C0623"/>
    <w:rsid w:val="004C563F"/>
    <w:rsid w:val="004C6764"/>
    <w:rsid w:val="004C78C7"/>
    <w:rsid w:val="004D5DD4"/>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45B1"/>
    <w:rsid w:val="005053EE"/>
    <w:rsid w:val="00505EBE"/>
    <w:rsid w:val="00505F1A"/>
    <w:rsid w:val="005069F1"/>
    <w:rsid w:val="00506A8C"/>
    <w:rsid w:val="00507FA1"/>
    <w:rsid w:val="00510A8C"/>
    <w:rsid w:val="00510F95"/>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E05"/>
    <w:rsid w:val="00593A78"/>
    <w:rsid w:val="00594F79"/>
    <w:rsid w:val="00595559"/>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2F99"/>
    <w:rsid w:val="005E405F"/>
    <w:rsid w:val="005E6883"/>
    <w:rsid w:val="005E6B25"/>
    <w:rsid w:val="005E6FA4"/>
    <w:rsid w:val="005F09D8"/>
    <w:rsid w:val="005F0AAA"/>
    <w:rsid w:val="005F1930"/>
    <w:rsid w:val="005F33EE"/>
    <w:rsid w:val="00600E90"/>
    <w:rsid w:val="006111E1"/>
    <w:rsid w:val="0061150F"/>
    <w:rsid w:val="00612E03"/>
    <w:rsid w:val="006153F1"/>
    <w:rsid w:val="00622AAE"/>
    <w:rsid w:val="00624200"/>
    <w:rsid w:val="0062571A"/>
    <w:rsid w:val="006307FD"/>
    <w:rsid w:val="00631722"/>
    <w:rsid w:val="00632064"/>
    <w:rsid w:val="00632E78"/>
    <w:rsid w:val="00635B54"/>
    <w:rsid w:val="0063691C"/>
    <w:rsid w:val="006372C8"/>
    <w:rsid w:val="00637D5D"/>
    <w:rsid w:val="0064109B"/>
    <w:rsid w:val="00641AC6"/>
    <w:rsid w:val="0064562F"/>
    <w:rsid w:val="0064685B"/>
    <w:rsid w:val="0064736A"/>
    <w:rsid w:val="0065257C"/>
    <w:rsid w:val="00652B73"/>
    <w:rsid w:val="00653617"/>
    <w:rsid w:val="0066023D"/>
    <w:rsid w:val="006608D8"/>
    <w:rsid w:val="00663927"/>
    <w:rsid w:val="006654FD"/>
    <w:rsid w:val="00667F36"/>
    <w:rsid w:val="00674CFD"/>
    <w:rsid w:val="00675478"/>
    <w:rsid w:val="00677A51"/>
    <w:rsid w:val="00680B35"/>
    <w:rsid w:val="00681128"/>
    <w:rsid w:val="006833CD"/>
    <w:rsid w:val="00686C61"/>
    <w:rsid w:val="00693491"/>
    <w:rsid w:val="00693E55"/>
    <w:rsid w:val="00696A84"/>
    <w:rsid w:val="006970C2"/>
    <w:rsid w:val="006A6C13"/>
    <w:rsid w:val="006B02BB"/>
    <w:rsid w:val="006B4239"/>
    <w:rsid w:val="006B5CBA"/>
    <w:rsid w:val="006B6E25"/>
    <w:rsid w:val="006C29F2"/>
    <w:rsid w:val="006C59FA"/>
    <w:rsid w:val="006C720D"/>
    <w:rsid w:val="006D01B0"/>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17B3C"/>
    <w:rsid w:val="00722E17"/>
    <w:rsid w:val="0072331C"/>
    <w:rsid w:val="00724899"/>
    <w:rsid w:val="007251D9"/>
    <w:rsid w:val="007273CA"/>
    <w:rsid w:val="00727493"/>
    <w:rsid w:val="00727EF8"/>
    <w:rsid w:val="00730997"/>
    <w:rsid w:val="00731AF2"/>
    <w:rsid w:val="00731CEF"/>
    <w:rsid w:val="00731D05"/>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3059"/>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2E64"/>
    <w:rsid w:val="007B3358"/>
    <w:rsid w:val="007B4239"/>
    <w:rsid w:val="007B54D8"/>
    <w:rsid w:val="007C0E38"/>
    <w:rsid w:val="007C26E3"/>
    <w:rsid w:val="007C2A4C"/>
    <w:rsid w:val="007D041A"/>
    <w:rsid w:val="007D2A16"/>
    <w:rsid w:val="007D2D71"/>
    <w:rsid w:val="007D5ED6"/>
    <w:rsid w:val="007E051A"/>
    <w:rsid w:val="007E2CAF"/>
    <w:rsid w:val="007E547F"/>
    <w:rsid w:val="007E7150"/>
    <w:rsid w:val="007F1451"/>
    <w:rsid w:val="007F3E9C"/>
    <w:rsid w:val="007F5B53"/>
    <w:rsid w:val="007F5E04"/>
    <w:rsid w:val="008037F3"/>
    <w:rsid w:val="00804BFC"/>
    <w:rsid w:val="00804CDB"/>
    <w:rsid w:val="0080624E"/>
    <w:rsid w:val="00810125"/>
    <w:rsid w:val="008103BF"/>
    <w:rsid w:val="00811B62"/>
    <w:rsid w:val="0081394B"/>
    <w:rsid w:val="00814B81"/>
    <w:rsid w:val="0081626C"/>
    <w:rsid w:val="008164B5"/>
    <w:rsid w:val="00820338"/>
    <w:rsid w:val="008206F4"/>
    <w:rsid w:val="008250BB"/>
    <w:rsid w:val="00826364"/>
    <w:rsid w:val="00826A6F"/>
    <w:rsid w:val="0083409C"/>
    <w:rsid w:val="008376E9"/>
    <w:rsid w:val="00840ECA"/>
    <w:rsid w:val="0084121B"/>
    <w:rsid w:val="0084127A"/>
    <w:rsid w:val="00842DE0"/>
    <w:rsid w:val="0084386F"/>
    <w:rsid w:val="00844DC2"/>
    <w:rsid w:val="008468A6"/>
    <w:rsid w:val="00846C24"/>
    <w:rsid w:val="00847119"/>
    <w:rsid w:val="00852873"/>
    <w:rsid w:val="0085475C"/>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837FA"/>
    <w:rsid w:val="008920EC"/>
    <w:rsid w:val="0089624A"/>
    <w:rsid w:val="008A04EE"/>
    <w:rsid w:val="008A2579"/>
    <w:rsid w:val="008A3BB3"/>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6C93"/>
    <w:rsid w:val="008E08C1"/>
    <w:rsid w:val="008E615A"/>
    <w:rsid w:val="008E7EE8"/>
    <w:rsid w:val="008F011B"/>
    <w:rsid w:val="008F019C"/>
    <w:rsid w:val="008F0541"/>
    <w:rsid w:val="008F0DD0"/>
    <w:rsid w:val="008F7656"/>
    <w:rsid w:val="00901A9D"/>
    <w:rsid w:val="009061C1"/>
    <w:rsid w:val="00926D7C"/>
    <w:rsid w:val="00927942"/>
    <w:rsid w:val="009302DD"/>
    <w:rsid w:val="00932133"/>
    <w:rsid w:val="0093268D"/>
    <w:rsid w:val="0093499F"/>
    <w:rsid w:val="009350BD"/>
    <w:rsid w:val="00936674"/>
    <w:rsid w:val="00937298"/>
    <w:rsid w:val="009417B1"/>
    <w:rsid w:val="009439F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5BF7"/>
    <w:rsid w:val="009877AD"/>
    <w:rsid w:val="009942F8"/>
    <w:rsid w:val="0099568E"/>
    <w:rsid w:val="009A1AA0"/>
    <w:rsid w:val="009A37C7"/>
    <w:rsid w:val="009A7AC9"/>
    <w:rsid w:val="009B0119"/>
    <w:rsid w:val="009B1678"/>
    <w:rsid w:val="009B4373"/>
    <w:rsid w:val="009B44B3"/>
    <w:rsid w:val="009B53D6"/>
    <w:rsid w:val="009B6F6F"/>
    <w:rsid w:val="009C2AEF"/>
    <w:rsid w:val="009C365C"/>
    <w:rsid w:val="009C4EE5"/>
    <w:rsid w:val="009C5EC8"/>
    <w:rsid w:val="009D1354"/>
    <w:rsid w:val="009D219E"/>
    <w:rsid w:val="009D21D4"/>
    <w:rsid w:val="009D3529"/>
    <w:rsid w:val="009D49E0"/>
    <w:rsid w:val="009D4D03"/>
    <w:rsid w:val="009E284D"/>
    <w:rsid w:val="009E3562"/>
    <w:rsid w:val="009E7CED"/>
    <w:rsid w:val="009F2138"/>
    <w:rsid w:val="009F2199"/>
    <w:rsid w:val="009F7C38"/>
    <w:rsid w:val="00A04E1C"/>
    <w:rsid w:val="00A11049"/>
    <w:rsid w:val="00A14F86"/>
    <w:rsid w:val="00A21114"/>
    <w:rsid w:val="00A216E4"/>
    <w:rsid w:val="00A220E1"/>
    <w:rsid w:val="00A27862"/>
    <w:rsid w:val="00A27DD7"/>
    <w:rsid w:val="00A307D4"/>
    <w:rsid w:val="00A30886"/>
    <w:rsid w:val="00A369E3"/>
    <w:rsid w:val="00A37473"/>
    <w:rsid w:val="00A37E08"/>
    <w:rsid w:val="00A400F3"/>
    <w:rsid w:val="00A4383F"/>
    <w:rsid w:val="00A459F3"/>
    <w:rsid w:val="00A46844"/>
    <w:rsid w:val="00A50AF7"/>
    <w:rsid w:val="00A50C2B"/>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453E"/>
    <w:rsid w:val="00A93699"/>
    <w:rsid w:val="00A93888"/>
    <w:rsid w:val="00A93C76"/>
    <w:rsid w:val="00A97E5F"/>
    <w:rsid w:val="00AA05C8"/>
    <w:rsid w:val="00AA4AC7"/>
    <w:rsid w:val="00AA5166"/>
    <w:rsid w:val="00AB14B7"/>
    <w:rsid w:val="00AB1BB5"/>
    <w:rsid w:val="00AB30BD"/>
    <w:rsid w:val="00AC0511"/>
    <w:rsid w:val="00AD0EED"/>
    <w:rsid w:val="00AD1013"/>
    <w:rsid w:val="00AD1FFE"/>
    <w:rsid w:val="00AD204C"/>
    <w:rsid w:val="00AD31DE"/>
    <w:rsid w:val="00AD38C3"/>
    <w:rsid w:val="00AD5BD4"/>
    <w:rsid w:val="00AD5D32"/>
    <w:rsid w:val="00AF144D"/>
    <w:rsid w:val="00AF6297"/>
    <w:rsid w:val="00B00E1D"/>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B0179"/>
    <w:rsid w:val="00BB590F"/>
    <w:rsid w:val="00BB724A"/>
    <w:rsid w:val="00BB7664"/>
    <w:rsid w:val="00BC0C85"/>
    <w:rsid w:val="00BC2FC0"/>
    <w:rsid w:val="00BC3D4C"/>
    <w:rsid w:val="00BC3DE9"/>
    <w:rsid w:val="00BC47C5"/>
    <w:rsid w:val="00BC6457"/>
    <w:rsid w:val="00BC6945"/>
    <w:rsid w:val="00BD2A47"/>
    <w:rsid w:val="00BD3CD3"/>
    <w:rsid w:val="00BD3E99"/>
    <w:rsid w:val="00BD5759"/>
    <w:rsid w:val="00BD5E71"/>
    <w:rsid w:val="00BD7089"/>
    <w:rsid w:val="00BD7ADE"/>
    <w:rsid w:val="00BD7B4F"/>
    <w:rsid w:val="00BE06AC"/>
    <w:rsid w:val="00BE20B5"/>
    <w:rsid w:val="00BE6C1B"/>
    <w:rsid w:val="00BE6EF6"/>
    <w:rsid w:val="00BE7D22"/>
    <w:rsid w:val="00BE7E7E"/>
    <w:rsid w:val="00BF30AA"/>
    <w:rsid w:val="00BF3ABE"/>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15AE"/>
    <w:rsid w:val="00C34279"/>
    <w:rsid w:val="00C446EF"/>
    <w:rsid w:val="00C44EA6"/>
    <w:rsid w:val="00C4578B"/>
    <w:rsid w:val="00C46605"/>
    <w:rsid w:val="00C47C91"/>
    <w:rsid w:val="00C52F40"/>
    <w:rsid w:val="00C53697"/>
    <w:rsid w:val="00C56E48"/>
    <w:rsid w:val="00C60367"/>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34BE"/>
    <w:rsid w:val="00D334AD"/>
    <w:rsid w:val="00D351E0"/>
    <w:rsid w:val="00D358B9"/>
    <w:rsid w:val="00D366B8"/>
    <w:rsid w:val="00D37CAA"/>
    <w:rsid w:val="00D43302"/>
    <w:rsid w:val="00D4557C"/>
    <w:rsid w:val="00D45B12"/>
    <w:rsid w:val="00D47C77"/>
    <w:rsid w:val="00D5119E"/>
    <w:rsid w:val="00D537EE"/>
    <w:rsid w:val="00D541B9"/>
    <w:rsid w:val="00D56623"/>
    <w:rsid w:val="00D56A32"/>
    <w:rsid w:val="00D635BC"/>
    <w:rsid w:val="00D641B7"/>
    <w:rsid w:val="00D672CF"/>
    <w:rsid w:val="00D70B55"/>
    <w:rsid w:val="00D72748"/>
    <w:rsid w:val="00D7421D"/>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C22B9"/>
    <w:rsid w:val="00DC401E"/>
    <w:rsid w:val="00DD08B7"/>
    <w:rsid w:val="00DD42BD"/>
    <w:rsid w:val="00DD4C1B"/>
    <w:rsid w:val="00DD5239"/>
    <w:rsid w:val="00DE6EAA"/>
    <w:rsid w:val="00DE7CD2"/>
    <w:rsid w:val="00DE7EA6"/>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65B1"/>
    <w:rsid w:val="00E66A7C"/>
    <w:rsid w:val="00E71049"/>
    <w:rsid w:val="00E73BD2"/>
    <w:rsid w:val="00E740AB"/>
    <w:rsid w:val="00E823C4"/>
    <w:rsid w:val="00E83063"/>
    <w:rsid w:val="00E83225"/>
    <w:rsid w:val="00E86740"/>
    <w:rsid w:val="00E87AD8"/>
    <w:rsid w:val="00E87AEB"/>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EC7"/>
    <w:rsid w:val="00F16DD8"/>
    <w:rsid w:val="00F23241"/>
    <w:rsid w:val="00F248E0"/>
    <w:rsid w:val="00F248F0"/>
    <w:rsid w:val="00F261F3"/>
    <w:rsid w:val="00F276AE"/>
    <w:rsid w:val="00F308CF"/>
    <w:rsid w:val="00F41AFA"/>
    <w:rsid w:val="00F42142"/>
    <w:rsid w:val="00F437B1"/>
    <w:rsid w:val="00F44579"/>
    <w:rsid w:val="00F46DAA"/>
    <w:rsid w:val="00F50104"/>
    <w:rsid w:val="00F56944"/>
    <w:rsid w:val="00F64439"/>
    <w:rsid w:val="00F65EBA"/>
    <w:rsid w:val="00F6708B"/>
    <w:rsid w:val="00F67CA6"/>
    <w:rsid w:val="00F736B2"/>
    <w:rsid w:val="00F740B2"/>
    <w:rsid w:val="00F74E21"/>
    <w:rsid w:val="00F768AF"/>
    <w:rsid w:val="00F81345"/>
    <w:rsid w:val="00F848B2"/>
    <w:rsid w:val="00F84A14"/>
    <w:rsid w:val="00F864D7"/>
    <w:rsid w:val="00F902F8"/>
    <w:rsid w:val="00F90ABA"/>
    <w:rsid w:val="00F92170"/>
    <w:rsid w:val="00F95EFE"/>
    <w:rsid w:val="00F96892"/>
    <w:rsid w:val="00FA3F43"/>
    <w:rsid w:val="00FA4B14"/>
    <w:rsid w:val="00FA729F"/>
    <w:rsid w:val="00FA7BD5"/>
    <w:rsid w:val="00FB1EC8"/>
    <w:rsid w:val="00FB2BA5"/>
    <w:rsid w:val="00FB52B3"/>
    <w:rsid w:val="00FB5CA9"/>
    <w:rsid w:val="00FC64DE"/>
    <w:rsid w:val="00FC6EF9"/>
    <w:rsid w:val="00FD02C3"/>
    <w:rsid w:val="00FD2228"/>
    <w:rsid w:val="00FE0F9F"/>
    <w:rsid w:val="00FE169C"/>
    <w:rsid w:val="00FE217B"/>
    <w:rsid w:val="00FE38FE"/>
    <w:rsid w:val="00FF0929"/>
    <w:rsid w:val="00FF15DE"/>
    <w:rsid w:val="00FF385F"/>
    <w:rsid w:val="00FF49E0"/>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FC9B"/>
  <w15:docId w15:val="{97A011B6-7BAA-BF4A-937A-024CB27E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2">
    <w:name w:val="Unresolved Mention2"/>
    <w:basedOn w:val="DefaultParagraphFont"/>
    <w:uiPriority w:val="99"/>
    <w:semiHidden/>
    <w:unhideWhenUsed/>
    <w:rsid w:val="009439F1"/>
    <w:rPr>
      <w:color w:val="605E5C"/>
      <w:shd w:val="clear" w:color="auto" w:fill="E1DFDD"/>
    </w:rPr>
  </w:style>
  <w:style w:type="character" w:styleId="PageNumber">
    <w:name w:val="page number"/>
    <w:basedOn w:val="DefaultParagraphFont"/>
    <w:uiPriority w:val="99"/>
    <w:semiHidden/>
    <w:unhideWhenUsed/>
    <w:rsid w:val="00FF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siknas.polri.go.id/detail_artikel/rilis_2022:_indonesia_pasar_potensial_jaringan_narkob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ssuu.com/oswarmungkasa/docs/tata_kelola_kolaboratif_240620_final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ublik.untag-sby.ac.id/berita-76-apa-itu-collaborative-governance-.html" TargetMode="External"/><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03F1F0-8830-49E1-AF87-9DFF9DC2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11665</Words>
  <Characters>66491</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IRFAN A1400EA</cp:lastModifiedBy>
  <cp:revision>4</cp:revision>
  <cp:lastPrinted>2022-02-14T02:05:00Z</cp:lastPrinted>
  <dcterms:created xsi:type="dcterms:W3CDTF">2023-12-12T11:57:00Z</dcterms:created>
  <dcterms:modified xsi:type="dcterms:W3CDTF">2023-12-17T16:43:00Z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253f8319-799a-3115-930e-b4d98f413c7d</vt:lpwstr>
  </property>
  <property fmtid="{D5CDD505-2E9C-101B-9397-08002B2CF9AE}" pid="24" name="Mendeley Citation Style_1">
    <vt:lpwstr>http://www.zotero.org/styles/apa</vt:lpwstr>
  </property>
</Properties>
</file>