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712" w:type="dxa"/>
        <w:tblInd w:w="-223" w:type="dxa"/>
        <w:tblBorders>
          <w:top w:val="nil"/>
          <w:left w:val="nil"/>
          <w:bottom w:val="nil"/>
          <w:right w:val="nil"/>
          <w:insideH w:val="nil"/>
          <w:insideV w:val="nil"/>
        </w:tblBorders>
        <w:tblLayout w:type="fixed"/>
        <w:tblLook w:val="0400" w:firstRow="0" w:lastRow="0" w:firstColumn="0" w:lastColumn="0" w:noHBand="0" w:noVBand="1"/>
      </w:tblPr>
      <w:tblGrid>
        <w:gridCol w:w="9712"/>
      </w:tblGrid>
      <w:tr w:rsidR="00F14898" w14:paraId="3081D47A" w14:textId="77777777">
        <w:tc>
          <w:tcPr>
            <w:tcW w:w="9712" w:type="dxa"/>
          </w:tcPr>
          <w:p w14:paraId="2687B86C" w14:textId="5A6A6F51" w:rsidR="00F14898" w:rsidRDefault="0087135B">
            <w:pPr>
              <w:jc w:val="center"/>
              <w:rPr>
                <w:rFonts w:ascii="Times New Roman" w:eastAsia="Times New Roman" w:hAnsi="Times New Roman" w:cs="Times New Roman"/>
                <w:b/>
                <w:sz w:val="24"/>
                <w:szCs w:val="24"/>
              </w:rPr>
            </w:pPr>
            <w:bookmarkStart w:id="0" w:name="_Hlk170814806"/>
            <w:r>
              <w:rPr>
                <w:rFonts w:ascii="Times New Roman" w:eastAsia="Times New Roman" w:hAnsi="Times New Roman" w:cs="Times New Roman"/>
                <w:b/>
                <w:sz w:val="28"/>
                <w:szCs w:val="28"/>
              </w:rPr>
              <w:t xml:space="preserve">Dampak Kualitas Pelayanan </w:t>
            </w:r>
            <w:bookmarkEnd w:id="0"/>
            <w:r>
              <w:rPr>
                <w:rFonts w:ascii="Times New Roman" w:eastAsia="Times New Roman" w:hAnsi="Times New Roman" w:cs="Times New Roman"/>
                <w:b/>
                <w:sz w:val="28"/>
                <w:szCs w:val="28"/>
              </w:rPr>
              <w:t>terhadap Keputusan Pembelian di Indomaret Garut dalam Era Modernisasi Ritel</w:t>
            </w:r>
          </w:p>
          <w:p w14:paraId="3FBAD3BD" w14:textId="410FAE9B" w:rsidR="00F14898" w:rsidRPr="00326676" w:rsidRDefault="00F14898">
            <w:pPr>
              <w:jc w:val="center"/>
              <w:rPr>
                <w:rFonts w:ascii="Times New Roman" w:eastAsia="Times New Roman" w:hAnsi="Times New Roman" w:cs="Times New Roman"/>
                <w:b/>
                <w:sz w:val="6"/>
                <w:szCs w:val="6"/>
              </w:rPr>
            </w:pPr>
          </w:p>
          <w:p w14:paraId="7D59BE97" w14:textId="37D7F5B5" w:rsidR="00F14898" w:rsidRDefault="0087135B">
            <w:pPr>
              <w:jc w:val="center"/>
              <w:rPr>
                <w:rFonts w:ascii="Times New Roman" w:eastAsia="Times New Roman" w:hAnsi="Times New Roman" w:cs="Times New Roman"/>
                <w:b/>
                <w:sz w:val="24"/>
                <w:szCs w:val="24"/>
                <w:vertAlign w:val="superscript"/>
              </w:rPr>
            </w:pPr>
            <w:bookmarkStart w:id="1" w:name="_Hlk170814788"/>
            <w:r>
              <w:rPr>
                <w:rFonts w:ascii="Times New Roman" w:eastAsia="Times New Roman" w:hAnsi="Times New Roman" w:cs="Times New Roman"/>
                <w:b/>
                <w:sz w:val="24"/>
                <w:szCs w:val="24"/>
              </w:rPr>
              <w:t>Taofik Hidayat</w:t>
            </w:r>
            <w:r>
              <w:rPr>
                <w:rFonts w:ascii="Times New Roman" w:eastAsia="Times New Roman" w:hAnsi="Times New Roman" w:cs="Times New Roman"/>
                <w:b/>
                <w:sz w:val="24"/>
                <w:szCs w:val="24"/>
                <w:vertAlign w:val="superscript"/>
              </w:rPr>
              <w:t>1</w:t>
            </w:r>
            <w:bookmarkEnd w:id="1"/>
            <w:r>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Suca Rusdian</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Rival Febryan</w:t>
            </w:r>
            <w:r>
              <w:rPr>
                <w:rFonts w:ascii="Times New Roman" w:eastAsia="Times New Roman" w:hAnsi="Times New Roman" w:cs="Times New Roman"/>
                <w:b/>
                <w:sz w:val="24"/>
                <w:szCs w:val="24"/>
                <w:vertAlign w:val="superscript"/>
              </w:rPr>
              <w:t>3)</w:t>
            </w:r>
          </w:p>
          <w:p w14:paraId="76F1AB40" w14:textId="55232E07" w:rsidR="00F14898" w:rsidRDefault="0087135B">
            <w:pPr>
              <w:ind w:right="9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 Studi Manajemen, STIE Yasa Anggana Garut</w:t>
            </w:r>
            <w:r>
              <w:rPr>
                <w:rFonts w:ascii="Times New Roman" w:eastAsia="Times New Roman" w:hAnsi="Times New Roman" w:cs="Times New Roman"/>
                <w:sz w:val="24"/>
                <w:szCs w:val="24"/>
                <w:vertAlign w:val="superscript"/>
              </w:rPr>
              <w:t xml:space="preserve">1,2,3) </w:t>
            </w:r>
            <w:r>
              <w:rPr>
                <w:rFonts w:ascii="Times New Roman" w:eastAsia="Times New Roman" w:hAnsi="Times New Roman" w:cs="Times New Roman"/>
                <w:sz w:val="24"/>
                <w:szCs w:val="24"/>
              </w:rPr>
              <w:t xml:space="preserve"> </w:t>
            </w:r>
          </w:p>
          <w:p w14:paraId="3043B4F4" w14:textId="7E74C02A" w:rsidR="00F14898" w:rsidRDefault="0087135B">
            <w:pPr>
              <w:ind w:right="96"/>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taopikhidayat79@stieyasaanggana.ac.id</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sucarusdian@stieyasaanggana.ac.id</w:t>
            </w:r>
            <w:r>
              <w:rPr>
                <w:rFonts w:ascii="Times New Roman" w:eastAsia="Times New Roman" w:hAnsi="Times New Roman" w:cs="Times New Roman"/>
                <w:sz w:val="24"/>
                <w:szCs w:val="24"/>
                <w:vertAlign w:val="superscript"/>
              </w:rPr>
              <w:t>2)</w:t>
            </w:r>
          </w:p>
        </w:tc>
      </w:tr>
    </w:tbl>
    <w:p w14:paraId="7FC10C01" w14:textId="6DE6EA0B" w:rsidR="00F14898" w:rsidRDefault="00326676">
      <w:pPr>
        <w:spacing w:after="0" w:line="240" w:lineRule="auto"/>
        <w:ind w:left="360" w:right="508"/>
        <w:jc w:val="both"/>
        <w:rPr>
          <w:rFonts w:ascii="Times New Roman" w:eastAsia="Times New Roman" w:hAnsi="Times New Roman" w:cs="Times New Roman"/>
          <w:b/>
          <w:i/>
          <w:sz w:val="20"/>
          <w:szCs w:val="20"/>
        </w:rPr>
        <w:sectPr w:rsidR="00F14898" w:rsidSect="0057108A">
          <w:headerReference w:type="even" r:id="rId7"/>
          <w:headerReference w:type="default" r:id="rId8"/>
          <w:footerReference w:type="even" r:id="rId9"/>
          <w:footerReference w:type="default" r:id="rId10"/>
          <w:headerReference w:type="first" r:id="rId11"/>
          <w:footerReference w:type="first" r:id="rId12"/>
          <w:pgSz w:w="12240" w:h="15840"/>
          <w:pgMar w:top="1699" w:right="1411" w:bottom="1411" w:left="1411" w:header="720" w:footer="720" w:gutter="0"/>
          <w:pgNumType w:start="377"/>
          <w:cols w:space="720"/>
        </w:sectPr>
      </w:pPr>
      <w:r>
        <w:rPr>
          <w:noProof/>
          <w:sz w:val="20"/>
          <w:szCs w:val="20"/>
        </w:rPr>
        <w:drawing>
          <wp:anchor distT="0" distB="0" distL="114300" distR="114300" simplePos="0" relativeHeight="251659264" behindDoc="1" locked="0" layoutInCell="1" allowOverlap="1" wp14:anchorId="798BD70A" wp14:editId="49407174">
            <wp:simplePos x="0" y="0"/>
            <wp:positionH relativeFrom="page">
              <wp:posOffset>724535</wp:posOffset>
            </wp:positionH>
            <wp:positionV relativeFrom="topMargin">
              <wp:posOffset>229235</wp:posOffset>
            </wp:positionV>
            <wp:extent cx="2209800" cy="77152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209800" cy="771525"/>
                    </a:xfrm>
                    <a:prstGeom prst="rect">
                      <a:avLst/>
                    </a:prstGeom>
                    <a:noFill/>
                  </pic:spPr>
                </pic:pic>
              </a:graphicData>
            </a:graphic>
          </wp:anchor>
        </w:drawing>
      </w:r>
    </w:p>
    <w:p w14:paraId="2BF691B4" w14:textId="1193CB32" w:rsidR="00F14898" w:rsidRDefault="00F14898">
      <w:pPr>
        <w:widowControl w:val="0"/>
        <w:pBdr>
          <w:top w:val="nil"/>
          <w:left w:val="nil"/>
          <w:bottom w:val="nil"/>
          <w:right w:val="nil"/>
          <w:between w:val="nil"/>
        </w:pBdr>
        <w:spacing w:after="0"/>
        <w:rPr>
          <w:rFonts w:ascii="Times New Roman" w:eastAsia="Times New Roman" w:hAnsi="Times New Roman" w:cs="Times New Roman"/>
          <w:b/>
          <w:i/>
          <w:sz w:val="20"/>
          <w:szCs w:val="20"/>
        </w:rPr>
      </w:pPr>
    </w:p>
    <w:tbl>
      <w:tblPr>
        <w:tblStyle w:val="a4"/>
        <w:tblW w:w="9712" w:type="dxa"/>
        <w:tblInd w:w="-27" w:type="dxa"/>
        <w:tblBorders>
          <w:top w:val="nil"/>
          <w:left w:val="nil"/>
          <w:bottom w:val="nil"/>
          <w:right w:val="nil"/>
          <w:insideH w:val="nil"/>
          <w:insideV w:val="nil"/>
        </w:tblBorders>
        <w:tblLayout w:type="fixed"/>
        <w:tblLook w:val="0400" w:firstRow="0" w:lastRow="0" w:firstColumn="0" w:lastColumn="0" w:noHBand="0" w:noVBand="1"/>
      </w:tblPr>
      <w:tblGrid>
        <w:gridCol w:w="9712"/>
      </w:tblGrid>
      <w:tr w:rsidR="00F14898" w14:paraId="0A0339B4" w14:textId="77777777">
        <w:trPr>
          <w:trHeight w:val="3227"/>
        </w:trPr>
        <w:tc>
          <w:tcPr>
            <w:tcW w:w="9712" w:type="dxa"/>
          </w:tcPr>
          <w:p w14:paraId="2D406C4D" w14:textId="77777777" w:rsidR="00F14898" w:rsidRDefault="0087135B">
            <w:pPr>
              <w:spacing w:after="120"/>
              <w:ind w:left="365" w:right="510"/>
              <w:jc w:val="both"/>
              <w:rPr>
                <w:rFonts w:ascii="Times New Roman" w:eastAsia="Times New Roman" w:hAnsi="Times New Roman" w:cs="Times New Roman"/>
              </w:rPr>
            </w:pPr>
            <w:r>
              <w:rPr>
                <w:rFonts w:ascii="Times New Roman" w:eastAsia="Times New Roman" w:hAnsi="Times New Roman" w:cs="Times New Roman"/>
                <w:b/>
              </w:rPr>
              <w:t>ABSTRAK</w:t>
            </w:r>
          </w:p>
          <w:p w14:paraId="1B878B82" w14:textId="77777777" w:rsidR="00F14898" w:rsidRDefault="0087135B">
            <w:pPr>
              <w:spacing w:after="120"/>
              <w:ind w:left="360" w:right="510"/>
              <w:jc w:val="both"/>
              <w:rPr>
                <w:rFonts w:ascii="Times New Roman" w:eastAsia="Times New Roman" w:hAnsi="Times New Roman" w:cs="Times New Roman"/>
              </w:rPr>
            </w:pPr>
            <w:r>
              <w:rPr>
                <w:rFonts w:ascii="Times New Roman" w:eastAsia="Times New Roman" w:hAnsi="Times New Roman" w:cs="Times New Roman"/>
              </w:rPr>
              <w:t xml:space="preserve">Industri ritel kini menghadapi tantangan besar di era modernisasi yang didorong oleh perkembangan teknologi digital. Penelitian ini menganalisis pengaruh kualitas pelayanan terhadap keputusan pembelian di Indomaret Garut menggunakan pendekatan kuantitatif </w:t>
            </w:r>
            <w:r>
              <w:rPr>
                <w:rFonts w:ascii="Times New Roman" w:eastAsia="Times New Roman" w:hAnsi="Times New Roman" w:cs="Times New Roman"/>
              </w:rPr>
              <w:t>dengan metode deskriptif dan asosiatif. Sampel penelitian terdiri dari 92 konsumen member yang dipilih melalui Simple Random Sampling. Data dikumpulkan melalui kuesioner dan dianalisis dengan IBM SPSS 25 for Windows. Hasil penelitian menunjukkan hubungan k</w:t>
            </w:r>
            <w:r>
              <w:rPr>
                <w:rFonts w:ascii="Times New Roman" w:eastAsia="Times New Roman" w:hAnsi="Times New Roman" w:cs="Times New Roman"/>
              </w:rPr>
              <w:t xml:space="preserve">uat antara kualitas pelayanan dan keputusan pembelian dengan koefisien korelasi 0,728. Analisis koefisien determinasi mengungkap bahwa kualitas pelayanan berkontribusi sebesar 53% terhadap keputusan pembelian, sementara 47% dipengaruhi faktor lain seperti </w:t>
            </w:r>
            <w:r>
              <w:rPr>
                <w:rFonts w:ascii="Times New Roman" w:eastAsia="Times New Roman" w:hAnsi="Times New Roman" w:cs="Times New Roman"/>
              </w:rPr>
              <w:t>harga, fasilitas, dan kualitas produk. Uji hipotesis menunjukkan kualitas pelayanan memiliki pengaruh positif dan signifikan terhadap keputusan pembelian, dengan thitung 10,078 yang lebih besar dari ttabel 2,925 dan signifikansi 0,000. Penelitian ini mendu</w:t>
            </w:r>
            <w:r>
              <w:rPr>
                <w:rFonts w:ascii="Times New Roman" w:eastAsia="Times New Roman" w:hAnsi="Times New Roman" w:cs="Times New Roman"/>
              </w:rPr>
              <w:t>kung studi sebelumnya yang menekankan pentingnya kualitas pelayanan dalam keputusan pembelian konsumen. Implikasi praktis meliputi investasi dalam pelatihan karyawan, pemanfaatan teknologi, penelitian berkala, peningkatan program loyalitas, serta kolaboras</w:t>
            </w:r>
            <w:r>
              <w:rPr>
                <w:rFonts w:ascii="Times New Roman" w:eastAsia="Times New Roman" w:hAnsi="Times New Roman" w:cs="Times New Roman"/>
              </w:rPr>
              <w:t>i dengan pemasok. Strategi-strategi ini dapat meningkatkan kepuasan konsumen dan memastikan pertumbuhan berkelanjutan di masa depan, memberikan wawasan penting bagi manajemen untuk meningkatkan kualitas pelayanan.</w:t>
            </w:r>
          </w:p>
          <w:p w14:paraId="39FFC348" w14:textId="77777777" w:rsidR="00F14898" w:rsidRDefault="0087135B">
            <w:pPr>
              <w:spacing w:after="120"/>
              <w:ind w:left="360" w:right="510"/>
              <w:jc w:val="both"/>
              <w:rPr>
                <w:rFonts w:ascii="Times New Roman" w:eastAsia="Times New Roman" w:hAnsi="Times New Roman" w:cs="Times New Roman"/>
              </w:rPr>
            </w:pPr>
            <w:r>
              <w:rPr>
                <w:rFonts w:ascii="Times New Roman" w:eastAsia="Times New Roman" w:hAnsi="Times New Roman" w:cs="Times New Roman"/>
                <w:b/>
              </w:rPr>
              <w:t xml:space="preserve">Kata Kunci: Kualitas Pelayanan, Keputusan </w:t>
            </w:r>
            <w:r>
              <w:rPr>
                <w:rFonts w:ascii="Times New Roman" w:eastAsia="Times New Roman" w:hAnsi="Times New Roman" w:cs="Times New Roman"/>
                <w:b/>
              </w:rPr>
              <w:t>Pembelian</w:t>
            </w:r>
          </w:p>
          <w:p w14:paraId="23F37ED2" w14:textId="77777777" w:rsidR="00F14898" w:rsidRDefault="00F14898">
            <w:pPr>
              <w:spacing w:after="120"/>
              <w:ind w:left="360" w:right="510"/>
              <w:jc w:val="both"/>
              <w:rPr>
                <w:rFonts w:ascii="Times New Roman" w:eastAsia="Times New Roman" w:hAnsi="Times New Roman" w:cs="Times New Roman"/>
                <w:b/>
                <w:i/>
                <w:sz w:val="6"/>
                <w:szCs w:val="6"/>
              </w:rPr>
            </w:pPr>
          </w:p>
          <w:p w14:paraId="4F54F3B6" w14:textId="77777777" w:rsidR="00F14898" w:rsidRDefault="0087135B">
            <w:pPr>
              <w:spacing w:after="120"/>
              <w:ind w:left="360" w:right="510"/>
              <w:jc w:val="both"/>
              <w:rPr>
                <w:rFonts w:ascii="Times New Roman" w:eastAsia="Times New Roman" w:hAnsi="Times New Roman" w:cs="Times New Roman"/>
              </w:rPr>
            </w:pPr>
            <w:r>
              <w:rPr>
                <w:rFonts w:ascii="Times New Roman" w:eastAsia="Times New Roman" w:hAnsi="Times New Roman" w:cs="Times New Roman"/>
                <w:b/>
                <w:i/>
              </w:rPr>
              <w:t>ABSTRACT</w:t>
            </w:r>
          </w:p>
          <w:p w14:paraId="09167A84" w14:textId="77777777" w:rsidR="00F14898" w:rsidRDefault="0087135B">
            <w:pPr>
              <w:spacing w:after="120"/>
              <w:ind w:left="360" w:right="510"/>
              <w:jc w:val="both"/>
              <w:rPr>
                <w:rFonts w:ascii="Times New Roman" w:eastAsia="Times New Roman" w:hAnsi="Times New Roman" w:cs="Times New Roman"/>
                <w:i/>
              </w:rPr>
            </w:pPr>
            <w:r>
              <w:rPr>
                <w:rFonts w:ascii="Times New Roman" w:eastAsia="Times New Roman" w:hAnsi="Times New Roman" w:cs="Times New Roman"/>
                <w:i/>
              </w:rPr>
              <w:t>The retail industry is now facing big challenges in the era of modernization driven by developments in digital technology. This research analyzes the influence of service quality on purchasing decisions at Indomaret Garut using a quanti</w:t>
            </w:r>
            <w:r>
              <w:rPr>
                <w:rFonts w:ascii="Times New Roman" w:eastAsia="Times New Roman" w:hAnsi="Times New Roman" w:cs="Times New Roman"/>
                <w:i/>
              </w:rPr>
              <w:t>tative approach with descriptive and associative methods. The research sample consisted of 92 consumer members selected through Simple Random Sampling. Data was collected through questionnaires and analyzed using IBM SPSS 25 for Windows. The research resul</w:t>
            </w:r>
            <w:r>
              <w:rPr>
                <w:rFonts w:ascii="Times New Roman" w:eastAsia="Times New Roman" w:hAnsi="Times New Roman" w:cs="Times New Roman"/>
                <w:i/>
              </w:rPr>
              <w:t>ts show a strong relationship between service quality and purchasing decisions with a correlation coefficient of 0.728. Analysis of the coefficient of determination reveals that service quality contributes 53% to purchasing decisions, while 47% is influenc</w:t>
            </w:r>
            <w:r>
              <w:rPr>
                <w:rFonts w:ascii="Times New Roman" w:eastAsia="Times New Roman" w:hAnsi="Times New Roman" w:cs="Times New Roman"/>
                <w:i/>
              </w:rPr>
              <w:t>ed by other factors such as price, facilities and product quality. Hypothesis testing shows that service quality has a positive and significant influence on purchasing decisions, with a tcount of 10.078 which is greater than a table of 2.925 and a signific</w:t>
            </w:r>
            <w:r>
              <w:rPr>
                <w:rFonts w:ascii="Times New Roman" w:eastAsia="Times New Roman" w:hAnsi="Times New Roman" w:cs="Times New Roman"/>
                <w:i/>
              </w:rPr>
              <w:t>ance of 0.000. This research supports previous studies which emphasize the importance of service quality in consumer purchasing decisions. Practical implications include investment in employee training, use of technology, regular research, improved loyalty</w:t>
            </w:r>
            <w:r>
              <w:rPr>
                <w:rFonts w:ascii="Times New Roman" w:eastAsia="Times New Roman" w:hAnsi="Times New Roman" w:cs="Times New Roman"/>
                <w:i/>
              </w:rPr>
              <w:t xml:space="preserve"> programs, and collaboration with suppliers. These strategies can increase consumer satisfaction and ensure sustainable growth in the future, providing important insights for management to improve service quality.</w:t>
            </w:r>
          </w:p>
          <w:p w14:paraId="3E66D4EC" w14:textId="77777777" w:rsidR="00F14898" w:rsidRDefault="0087135B">
            <w:pPr>
              <w:spacing w:after="120"/>
              <w:ind w:left="360" w:right="510"/>
              <w:jc w:val="both"/>
              <w:rPr>
                <w:rFonts w:ascii="Times New Roman" w:eastAsia="Times New Roman" w:hAnsi="Times New Roman" w:cs="Times New Roman"/>
                <w:b/>
                <w:i/>
              </w:rPr>
            </w:pPr>
            <w:r>
              <w:rPr>
                <w:rFonts w:ascii="Times New Roman" w:eastAsia="Times New Roman" w:hAnsi="Times New Roman" w:cs="Times New Roman"/>
                <w:b/>
                <w:i/>
              </w:rPr>
              <w:t>Keywords: Service Quality, Purchasing Deci</w:t>
            </w:r>
            <w:r>
              <w:rPr>
                <w:rFonts w:ascii="Times New Roman" w:eastAsia="Times New Roman" w:hAnsi="Times New Roman" w:cs="Times New Roman"/>
                <w:b/>
                <w:i/>
              </w:rPr>
              <w:t>sions</w:t>
            </w:r>
          </w:p>
        </w:tc>
      </w:tr>
    </w:tbl>
    <w:p w14:paraId="38C96B4F" w14:textId="77777777" w:rsidR="00F14898" w:rsidRDefault="00F14898">
      <w:pPr>
        <w:spacing w:after="120" w:line="240" w:lineRule="auto"/>
        <w:ind w:right="508"/>
        <w:jc w:val="both"/>
        <w:rPr>
          <w:rFonts w:ascii="Times New Roman" w:eastAsia="Times New Roman" w:hAnsi="Times New Roman" w:cs="Times New Roman"/>
          <w:b/>
          <w:i/>
          <w:sz w:val="10"/>
          <w:szCs w:val="10"/>
        </w:rPr>
        <w:sectPr w:rsidR="00F14898">
          <w:type w:val="continuous"/>
          <w:pgSz w:w="12240" w:h="15840"/>
          <w:pgMar w:top="1699" w:right="1411" w:bottom="1411" w:left="1411" w:header="720" w:footer="720" w:gutter="0"/>
          <w:pgNumType w:start="1"/>
          <w:cols w:space="720"/>
        </w:sectPr>
      </w:pPr>
    </w:p>
    <w:p w14:paraId="22268307" w14:textId="77777777" w:rsidR="00F14898" w:rsidRDefault="00F14898">
      <w:pPr>
        <w:spacing w:after="120" w:line="240" w:lineRule="auto"/>
        <w:rPr>
          <w:rFonts w:ascii="Times New Roman" w:eastAsia="Times New Roman" w:hAnsi="Times New Roman" w:cs="Times New Roman"/>
          <w:b/>
          <w:sz w:val="24"/>
          <w:szCs w:val="24"/>
        </w:rPr>
      </w:pPr>
    </w:p>
    <w:p w14:paraId="3A7D6867" w14:textId="77777777" w:rsidR="00F14898" w:rsidRDefault="0087135B">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781B0E7B"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Industri ritel telah mengalami perubahan signifikan dalam beberapa dekade terakhir, terutama dengan munculnya era digital (Rusdian, 2021). Transformasi ini tidak hanya mempengaruhi cara konsumen berbelanja, tetapi juga memaksa para pelaku bisnis ritel untu</w:t>
      </w:r>
      <w:r>
        <w:rPr>
          <w:rFonts w:ascii="Times New Roman" w:eastAsia="Times New Roman" w:hAnsi="Times New Roman" w:cs="Times New Roman"/>
          <w:color w:val="000000"/>
          <w:sz w:val="24"/>
          <w:szCs w:val="24"/>
        </w:rPr>
        <w:t>k beradaptasi dengan cepat dan efektif (Panjaitan &amp; Lupiana, 2023). Dengan kemajuan teknologi dan internet, konsumen kini memiliki akses yang lebih mudah dan cepat ke berbagai produk dan layanan, yang sebelumnya tidak terbayangkan. Fenomena ini mendorong m</w:t>
      </w:r>
      <w:r>
        <w:rPr>
          <w:rFonts w:ascii="Times New Roman" w:eastAsia="Times New Roman" w:hAnsi="Times New Roman" w:cs="Times New Roman"/>
          <w:color w:val="000000"/>
          <w:sz w:val="24"/>
          <w:szCs w:val="24"/>
        </w:rPr>
        <w:t>unculnya platform e-commerce yang menjadi pesaing langsung bagi toko fisik tradisional (Nazar et al., 2023). Tekanan dari perkembangan dunia digital membuat toko ritel fisik harus bekerja ekstra keras untuk mempertahankan eksistensinya. Kemudahan berbelanj</w:t>
      </w:r>
      <w:r>
        <w:rPr>
          <w:rFonts w:ascii="Times New Roman" w:eastAsia="Times New Roman" w:hAnsi="Times New Roman" w:cs="Times New Roman"/>
          <w:color w:val="000000"/>
          <w:sz w:val="24"/>
          <w:szCs w:val="24"/>
        </w:rPr>
        <w:t>a online, mulai dari pencarian produk hingga pembayaran, membuat konsumen lebih memilih platform digital daripada toko fisik (Car et al., 2023). Beberapa perusahaan ritel terkenal seperti Debenhams, Lotus, dan 7-Eleven telah menutup toko-toko mereka karena</w:t>
      </w:r>
      <w:r>
        <w:rPr>
          <w:rFonts w:ascii="Times New Roman" w:eastAsia="Times New Roman" w:hAnsi="Times New Roman" w:cs="Times New Roman"/>
          <w:color w:val="000000"/>
          <w:sz w:val="24"/>
          <w:szCs w:val="24"/>
        </w:rPr>
        <w:t xml:space="preserve"> tidak mampu bersaing dalam lanskap bisnis yang terus berubah ini. Tantangan ini terlihat sangat berat, tetapi bukan berarti industri ritel akan punah. Sebaliknya, industri ini dituntut untuk berinovasi dan meningkatkan kualitas pelayanan guna tetap releva</w:t>
      </w:r>
      <w:r>
        <w:rPr>
          <w:rFonts w:ascii="Times New Roman" w:eastAsia="Times New Roman" w:hAnsi="Times New Roman" w:cs="Times New Roman"/>
          <w:color w:val="000000"/>
          <w:sz w:val="24"/>
          <w:szCs w:val="24"/>
        </w:rPr>
        <w:t>n di era modernisasi ritel (Utami, 2018).</w:t>
      </w:r>
    </w:p>
    <w:p w14:paraId="4107876F"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Konsumen saat ini sangat kritis dalam memilih tempat berbelanja. Mereka tidak hanya memperhatikan harga dan kualitas produk, tetapi juga kualitas pelayanan yang diberikan oleh took (Djamin, 2020). Kualitas pelayana</w:t>
      </w:r>
      <w:r>
        <w:rPr>
          <w:rFonts w:ascii="Times New Roman" w:eastAsia="Times New Roman" w:hAnsi="Times New Roman" w:cs="Times New Roman"/>
          <w:color w:val="000000"/>
          <w:sz w:val="24"/>
          <w:szCs w:val="24"/>
        </w:rPr>
        <w:t>n menjadi faktor penting yang dapat mempengaruhi keputusan pembelian konsumen. Hal tersebut sejalan dengan penelitian (Tojiri &amp; Rusdian, 2023) yang menunjukkan bahwa pelayanan yang buruk dapat mengakibatkan hilangnya pelanggan dan menurunkan penjualan. Ole</w:t>
      </w:r>
      <w:r>
        <w:rPr>
          <w:rFonts w:ascii="Times New Roman" w:eastAsia="Times New Roman" w:hAnsi="Times New Roman" w:cs="Times New Roman"/>
          <w:color w:val="000000"/>
          <w:sz w:val="24"/>
          <w:szCs w:val="24"/>
        </w:rPr>
        <w:t xml:space="preserve">h karena itu, perusahaan ritel harus fokus pada peningkatan kualitas pelayanan untuk mencapai target perusahaan. Seringkali, perusahaan mengabaikan pentingnya pelayanan yang diberikan kepada konsumen. Padahal, kualitas pelayanan memiliki dampak signifikan </w:t>
      </w:r>
      <w:r>
        <w:rPr>
          <w:rFonts w:ascii="Times New Roman" w:eastAsia="Times New Roman" w:hAnsi="Times New Roman" w:cs="Times New Roman"/>
          <w:color w:val="000000"/>
          <w:sz w:val="24"/>
          <w:szCs w:val="24"/>
        </w:rPr>
        <w:t>terhadap keputusan pembelian konsumen. Pelayanan yang baik dapat meningkatkan kepuasan dan loyalitas pelanggan, yang pada akhirnya dapat meningkatkan penjualan. Sebaliknya, pelayanan yang buruk dapat membuat konsumen beralih ke pesaing. Oleh karena itu, pe</w:t>
      </w:r>
      <w:r>
        <w:rPr>
          <w:rFonts w:ascii="Times New Roman" w:eastAsia="Times New Roman" w:hAnsi="Times New Roman" w:cs="Times New Roman"/>
          <w:color w:val="000000"/>
          <w:sz w:val="24"/>
          <w:szCs w:val="24"/>
        </w:rPr>
        <w:t>nting bagi perusahaan ritel untuk memahami dan menerapkan konsep kualitas pelayanan dalam operasional mereka (Alfiyah, 2019).</w:t>
      </w:r>
    </w:p>
    <w:p w14:paraId="58E385D0"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(Rusdian</w:t>
      </w:r>
      <w:r>
        <w:rPr>
          <w:rFonts w:ascii="Times New Roman" w:eastAsia="Times New Roman" w:hAnsi="Times New Roman" w:cs="Times New Roman"/>
          <w:color w:val="000000"/>
          <w:sz w:val="24"/>
          <w:szCs w:val="24"/>
        </w:rPr>
        <w:t xml:space="preserve">, 2020) menyatakan bahwa keputusan pembelian adalah proses yang dilalui oleh konsumen sebelum mereka memutuskan untuk membeli produk atau jasa. Proses ini melibatkan evaluasi berbagai faktor seperti harga, kualitas produk, dan kualitas pelayanan. Konsumen </w:t>
      </w:r>
      <w:r>
        <w:rPr>
          <w:rFonts w:ascii="Times New Roman" w:eastAsia="Times New Roman" w:hAnsi="Times New Roman" w:cs="Times New Roman"/>
          <w:color w:val="000000"/>
          <w:sz w:val="24"/>
          <w:szCs w:val="24"/>
        </w:rPr>
        <w:t xml:space="preserve">cenderung memilih produk atau jasa yang menawarkan nilai terbaik (Kenda et al., 2022). (Pujiwati et al., 2023) </w:t>
      </w:r>
      <w:r>
        <w:rPr>
          <w:rFonts w:ascii="Times New Roman" w:eastAsia="Times New Roman" w:hAnsi="Times New Roman" w:cs="Times New Roman"/>
          <w:sz w:val="24"/>
          <w:szCs w:val="24"/>
        </w:rPr>
        <w:t>menyatakan</w:t>
      </w:r>
      <w:r>
        <w:rPr>
          <w:rFonts w:ascii="Times New Roman" w:eastAsia="Times New Roman" w:hAnsi="Times New Roman" w:cs="Times New Roman"/>
          <w:color w:val="000000"/>
          <w:sz w:val="24"/>
          <w:szCs w:val="24"/>
        </w:rPr>
        <w:t xml:space="preserve"> bahwa dalam memilih produk, ada beberapa faktor yang mempengaruhi keputusan pembelian konsumen, termasuk harga, kualitas pelayanan, da</w:t>
      </w:r>
      <w:r>
        <w:rPr>
          <w:rFonts w:ascii="Times New Roman" w:eastAsia="Times New Roman" w:hAnsi="Times New Roman" w:cs="Times New Roman"/>
          <w:color w:val="000000"/>
          <w:sz w:val="24"/>
          <w:szCs w:val="24"/>
        </w:rPr>
        <w:t>n merek. Hal tersebut sejalan dengan hasil penelitian (Pratama et al., 2021) yang menunjukan bahwa keputusan pembelian tidak lepas dari konsep kepuasan konsumen. Sebelum melakukan pembelian, konsumen biasanya akan melakukan evaluasi terhadap produk atau ja</w:t>
      </w:r>
      <w:r>
        <w:rPr>
          <w:rFonts w:ascii="Times New Roman" w:eastAsia="Times New Roman" w:hAnsi="Times New Roman" w:cs="Times New Roman"/>
          <w:color w:val="000000"/>
          <w:sz w:val="24"/>
          <w:szCs w:val="24"/>
        </w:rPr>
        <w:t>sa yang ditawarkan. Jika mereka merasa puas dengan kualitas pelayanan yang diberikan, mereka cenderung untuk melakukan pembelian. Sebaliknya, jika mereka merasa tidak puas, mereka mungkin akan beralih ke pesaing. Oleh karena itu, penting bagi perusahaan ri</w:t>
      </w:r>
      <w:r>
        <w:rPr>
          <w:rFonts w:ascii="Times New Roman" w:eastAsia="Times New Roman" w:hAnsi="Times New Roman" w:cs="Times New Roman"/>
          <w:color w:val="000000"/>
          <w:sz w:val="24"/>
          <w:szCs w:val="24"/>
        </w:rPr>
        <w:t>tel untuk memastikan bahwa mereka memberikan pelayanan yang memuaskan kepada konsumen (Afnina &amp; Hastuti, 2018).</w:t>
      </w:r>
    </w:p>
    <w:p w14:paraId="2B916A42"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(Fakhrudin &amp; Maria Valeria Roellyanti, 2023) menyatakan bahwa kualitas pelayanan adalah salah satu faktor kunci yang dapat mempengaruhi keputusa</w:t>
      </w:r>
      <w:r>
        <w:rPr>
          <w:rFonts w:ascii="Times New Roman" w:eastAsia="Times New Roman" w:hAnsi="Times New Roman" w:cs="Times New Roman"/>
          <w:color w:val="000000"/>
          <w:sz w:val="24"/>
          <w:szCs w:val="24"/>
        </w:rPr>
        <w:t>n pembelian konsumen. Kualitas pelayanan dapat diwujudkan melalui pemenuhan kebutuhan dan keinginan konsumen serta ketepatan penyampaian layanan untuk mengimbangi harapan konsumen. Menurut Tjiptono (Sitorus, 2023), konsumen merasa puas dan loyal jika merek</w:t>
      </w:r>
      <w:r>
        <w:rPr>
          <w:rFonts w:ascii="Times New Roman" w:eastAsia="Times New Roman" w:hAnsi="Times New Roman" w:cs="Times New Roman"/>
          <w:color w:val="000000"/>
          <w:sz w:val="24"/>
          <w:szCs w:val="24"/>
        </w:rPr>
        <w:t>a mendapatkan kualitas pelayanan yang baik atau sesuai dengan yang diharapkan. Dalam konteks ritel, kualitas pelayanan mencakup berbagai aspek seperti keramahan staf, kecepatan layanan, ketersediaan produk, kebersihan toko, dan kenyamanan berbelanja. Pelay</w:t>
      </w:r>
      <w:r>
        <w:rPr>
          <w:rFonts w:ascii="Times New Roman" w:eastAsia="Times New Roman" w:hAnsi="Times New Roman" w:cs="Times New Roman"/>
          <w:color w:val="000000"/>
          <w:sz w:val="24"/>
          <w:szCs w:val="24"/>
        </w:rPr>
        <w:t>anan yang baik dapat meningkatkan kepuasan konsumen, yang pada gilirannya dapat meningkatkan loyalitas dan retensi pelanggan. Oleh karena itu, perusahaan ritel harus terus berupaya untuk meningkatkan kualitas pelayanan mereka guna memenuhi harapan konsumen</w:t>
      </w:r>
      <w:r>
        <w:rPr>
          <w:rFonts w:ascii="Times New Roman" w:eastAsia="Times New Roman" w:hAnsi="Times New Roman" w:cs="Times New Roman"/>
          <w:color w:val="000000"/>
          <w:sz w:val="24"/>
          <w:szCs w:val="24"/>
        </w:rPr>
        <w:t>.</w:t>
      </w:r>
    </w:p>
    <w:p w14:paraId="04A63CD3"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PT. Indomarco Prismatama adalah perusahaan swasta nasional yang mengelola jaringan minimarket Indomaret. Berdiri sejak 1988, Indomaret telah menjadi salah satu jaringan minimarket terbesar di Indonesia. Salah satu cabang Indomaret yang akan menjadi fokus</w:t>
      </w:r>
      <w:r>
        <w:rPr>
          <w:rFonts w:ascii="Times New Roman" w:eastAsia="Times New Roman" w:hAnsi="Times New Roman" w:cs="Times New Roman"/>
          <w:color w:val="000000"/>
          <w:sz w:val="24"/>
          <w:szCs w:val="24"/>
        </w:rPr>
        <w:t xml:space="preserve"> penelitian ini adalah Indomaret Ahmad Yani Garut. Dalam konteks modernisasi ritel, cabang ini menghadapi tantangan dalam mempertahankan dan meningkatkan keputusan pembelian konsumen. Data awal menunjukkan bahwa keputusan pembelian di Indomaret Ahmad Yani </w:t>
      </w:r>
      <w:r>
        <w:rPr>
          <w:rFonts w:ascii="Times New Roman" w:eastAsia="Times New Roman" w:hAnsi="Times New Roman" w:cs="Times New Roman"/>
          <w:color w:val="000000"/>
          <w:sz w:val="24"/>
          <w:szCs w:val="24"/>
        </w:rPr>
        <w:t xml:space="preserve">Garut masih belum optimal, dengan fluktuasi penjualan yang signifikan. Salah satu faktor yang mempengaruhi keputusan pembelian ini adalah kualitas pelayanan. Penelitian ini bertujuan untuk menganalisis kualitas pelayanan dan pengaruhnya terhadap keputusan </w:t>
      </w:r>
      <w:r>
        <w:rPr>
          <w:rFonts w:ascii="Times New Roman" w:eastAsia="Times New Roman" w:hAnsi="Times New Roman" w:cs="Times New Roman"/>
          <w:color w:val="000000"/>
          <w:sz w:val="24"/>
          <w:szCs w:val="24"/>
        </w:rPr>
        <w:t>pembelian di Indomaret Ahmad Yani Garut.</w:t>
      </w:r>
    </w:p>
    <w:p w14:paraId="78780BC4" w14:textId="77777777" w:rsidR="00F14898" w:rsidRDefault="0087135B">
      <w:pPr>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Manfaat dari penelitian ini adalah memberikan wawasan bagi perusahaan tentang pentingnya kualitas pelayanan dalam mempertahankan dan meningkatkan keputusan pembelian konsumen. Selain itu, hasil penelitian ini juga d</w:t>
      </w:r>
      <w:r>
        <w:rPr>
          <w:rFonts w:ascii="Times New Roman" w:eastAsia="Times New Roman" w:hAnsi="Times New Roman" w:cs="Times New Roman"/>
          <w:color w:val="000000"/>
          <w:sz w:val="24"/>
          <w:szCs w:val="24"/>
        </w:rPr>
        <w:t>apat digunakan sebagai dasar untuk merumuskan strategi peningkatan kualitas pelayanan guna memenuhi harapan konsumen dan meningkatkan loyalitas pelanggan.</w:t>
      </w:r>
    </w:p>
    <w:p w14:paraId="30686959" w14:textId="77777777" w:rsidR="00F14898" w:rsidRDefault="00F14898">
      <w:pPr>
        <w:widowControl w:val="0"/>
        <w:spacing w:after="120" w:line="240" w:lineRule="auto"/>
        <w:jc w:val="both"/>
        <w:rPr>
          <w:rFonts w:ascii="Times New Roman" w:eastAsia="Times New Roman" w:hAnsi="Times New Roman" w:cs="Times New Roman"/>
          <w:b/>
          <w:smallCaps/>
          <w:sz w:val="24"/>
          <w:szCs w:val="24"/>
        </w:rPr>
      </w:pPr>
    </w:p>
    <w:p w14:paraId="309E3AA6"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METODE </w:t>
      </w:r>
    </w:p>
    <w:p w14:paraId="413CB870"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Metode penelitian yang digunakan dalam penelitian ini adalah metode kuantitatif dengan anali</w:t>
      </w:r>
      <w:r>
        <w:rPr>
          <w:rFonts w:ascii="Times New Roman" w:eastAsia="Times New Roman" w:hAnsi="Times New Roman" w:cs="Times New Roman"/>
          <w:sz w:val="24"/>
          <w:szCs w:val="24"/>
        </w:rPr>
        <w:t>sis deskriptif dan asosiatif. Menurut Sugiyono (Sugiat et al., 2022), penelitian deskriptif bertujuan untuk mengidentifikasi nilai dari satu atau lebih variabel secara terpisah, tanpa membandingkannya dengan variabel lain atau menghubungkannya dengan varia</w:t>
      </w:r>
      <w:r>
        <w:rPr>
          <w:rFonts w:ascii="Times New Roman" w:eastAsia="Times New Roman" w:hAnsi="Times New Roman" w:cs="Times New Roman"/>
          <w:sz w:val="24"/>
          <w:szCs w:val="24"/>
        </w:rPr>
        <w:t xml:space="preserve">bel lainnya. Sementara itu, penelitian asosiatif, menurut Sugiyono (Yusuf Tojiri, Hari Setia Putra, 2023), bertujuan untuk mengetahui pengaruh atau hubungan antara dua variabel atau lebih. Metode asosiatif digunakan dalam penelitian ini untuk mengevaluasi </w:t>
      </w:r>
      <w:r>
        <w:rPr>
          <w:rFonts w:ascii="Times New Roman" w:eastAsia="Times New Roman" w:hAnsi="Times New Roman" w:cs="Times New Roman"/>
          <w:sz w:val="24"/>
          <w:szCs w:val="24"/>
        </w:rPr>
        <w:t>bagaimana kualitas pelayanan mempengaruhi keputusan pembelian konsumen.</w:t>
      </w:r>
    </w:p>
    <w:p w14:paraId="517C7B20"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pelaksanaan penelitian, data dikumpulkan melalui penyebaran kuesioner, wawancara, dan observasi. Populasi penelitian ini terdiri dari konsumen yang menggunakan member belanja di </w:t>
      </w:r>
      <w:r>
        <w:rPr>
          <w:rFonts w:ascii="Times New Roman" w:eastAsia="Times New Roman" w:hAnsi="Times New Roman" w:cs="Times New Roman"/>
          <w:sz w:val="24"/>
          <w:szCs w:val="24"/>
        </w:rPr>
        <w:t>Indomaret Ahmad Yani Garut, berjumlah 1.164 orang. Dengan menggunakan rumus untuk menentukan sampel dan tingkat kesalahan 10%, diperoleh sampel sebanyak 92 konsumen.</w:t>
      </w:r>
    </w:p>
    <w:p w14:paraId="2F8C5DAE"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Teknik analisis data yang digunakan meliputi uji validitas dan reliabilitas instrumen pene</w:t>
      </w:r>
      <w:r>
        <w:rPr>
          <w:rFonts w:ascii="Times New Roman" w:eastAsia="Times New Roman" w:hAnsi="Times New Roman" w:cs="Times New Roman"/>
          <w:sz w:val="24"/>
          <w:szCs w:val="24"/>
        </w:rPr>
        <w:t>litian, uji korelasi sederhana, uji koefisien determinasi, dan uji hipotesis. Uji validitas dan reliabilitas memastikan bahwa instrumen penelitian dapat diandalkan. Uji korelasi sederhana digunakan untuk mengukur hubungan antara variabel kualitas pelayanan</w:t>
      </w:r>
      <w:r>
        <w:rPr>
          <w:rFonts w:ascii="Times New Roman" w:eastAsia="Times New Roman" w:hAnsi="Times New Roman" w:cs="Times New Roman"/>
          <w:sz w:val="24"/>
          <w:szCs w:val="24"/>
        </w:rPr>
        <w:t xml:space="preserve"> dan keputusan pembelian. Uji koefisien </w:t>
      </w:r>
      <w:r>
        <w:rPr>
          <w:rFonts w:ascii="Times New Roman" w:eastAsia="Times New Roman" w:hAnsi="Times New Roman" w:cs="Times New Roman"/>
          <w:sz w:val="24"/>
          <w:szCs w:val="24"/>
        </w:rPr>
        <w:lastRenderedPageBreak/>
        <w:t>determinasi digunakan untuk menentukan sejauh mana variabel independen (kualitas pelayanan) mempengaruhi variabel dependen (keputusan pembelian). Terakhir, uji hipotesis dilakukan untuk menentukan signifikansi pengar</w:t>
      </w:r>
      <w:r>
        <w:rPr>
          <w:rFonts w:ascii="Times New Roman" w:eastAsia="Times New Roman" w:hAnsi="Times New Roman" w:cs="Times New Roman"/>
          <w:sz w:val="24"/>
          <w:szCs w:val="24"/>
        </w:rPr>
        <w:t>uh kualitas pelayanan terhadap keputusan pembelian.</w:t>
      </w:r>
    </w:p>
    <w:p w14:paraId="36F2BAFF"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pendekatan ini, penelitian ini bertujuan memberikan wawasan mendalam tentang dampak kualitas pelayanan terhadap keputusan pembelian di Indomaret Ahmad Yani Garut dalam era modernisasi ritel.</w:t>
      </w:r>
    </w:p>
    <w:p w14:paraId="18FC99DD" w14:textId="77777777" w:rsidR="00F14898" w:rsidRDefault="00F14898">
      <w:pPr>
        <w:widowControl w:val="0"/>
        <w:spacing w:after="120" w:line="240" w:lineRule="auto"/>
        <w:jc w:val="both"/>
        <w:rPr>
          <w:rFonts w:ascii="Times New Roman" w:eastAsia="Times New Roman" w:hAnsi="Times New Roman" w:cs="Times New Roman"/>
          <w:b/>
          <w:smallCaps/>
          <w:sz w:val="24"/>
          <w:szCs w:val="24"/>
        </w:rPr>
      </w:pPr>
    </w:p>
    <w:p w14:paraId="2DA762DE"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HASIL</w:t>
      </w:r>
      <w:r>
        <w:rPr>
          <w:rFonts w:ascii="Times New Roman" w:eastAsia="Times New Roman" w:hAnsi="Times New Roman" w:cs="Times New Roman"/>
          <w:b/>
          <w:smallCaps/>
          <w:sz w:val="24"/>
          <w:szCs w:val="24"/>
        </w:rPr>
        <w:t xml:space="preserve"> DAN PEMBAHASAN</w:t>
      </w:r>
    </w:p>
    <w:p w14:paraId="09889F3E" w14:textId="77777777" w:rsidR="00F14898" w:rsidRDefault="0087135B">
      <w:pPr>
        <w:widowControl w:val="0"/>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5951B0AA" w14:textId="77777777" w:rsidR="00F14898" w:rsidRDefault="0087135B">
      <w:pPr>
        <w:widowControl w:val="0"/>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Validitas </w:t>
      </w:r>
    </w:p>
    <w:p w14:paraId="2DF34ADE"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698BE9B5" w14:textId="77777777" w:rsidR="00F14898" w:rsidRDefault="0087135B">
      <w:pPr>
        <w:widowControl w:val="0"/>
        <w:spacing w:after="0" w:line="240" w:lineRule="auto"/>
        <w:jc w:val="center"/>
        <w:rPr>
          <w:rFonts w:ascii="Times New Roman" w:eastAsia="Times New Roman" w:hAnsi="Times New Roman" w:cs="Times New Roman"/>
          <w:b/>
          <w:sz w:val="24"/>
          <w:szCs w:val="24"/>
        </w:rPr>
      </w:pPr>
      <w:bookmarkStart w:id="3" w:name="_heading=h.gjdgxs" w:colFirst="0" w:colLast="0"/>
      <w:bookmarkEnd w:id="3"/>
      <w:r>
        <w:rPr>
          <w:rFonts w:ascii="Times New Roman" w:eastAsia="Times New Roman" w:hAnsi="Times New Roman" w:cs="Times New Roman"/>
          <w:b/>
          <w:sz w:val="24"/>
          <w:szCs w:val="24"/>
        </w:rPr>
        <w:t>Tabel 1. Hasil Uji Validitas Variabel Kualitas Pelayanan</w:t>
      </w:r>
    </w:p>
    <w:p w14:paraId="3791B466" w14:textId="77777777" w:rsidR="00F14898" w:rsidRDefault="00F14898">
      <w:pPr>
        <w:widowControl w:val="0"/>
        <w:spacing w:after="0" w:line="240" w:lineRule="auto"/>
        <w:jc w:val="center"/>
        <w:rPr>
          <w:rFonts w:ascii="Times New Roman" w:eastAsia="Times New Roman" w:hAnsi="Times New Roman" w:cs="Times New Roman"/>
          <w:b/>
          <w:sz w:val="24"/>
          <w:szCs w:val="24"/>
        </w:rPr>
      </w:pPr>
    </w:p>
    <w:tbl>
      <w:tblPr>
        <w:tblStyle w:val="a5"/>
        <w:tblW w:w="6683" w:type="dxa"/>
        <w:jc w:val="center"/>
        <w:tblBorders>
          <w:top w:val="single" w:sz="4" w:space="0" w:color="000000"/>
          <w:bottom w:val="single" w:sz="4" w:space="0" w:color="000000"/>
        </w:tblBorders>
        <w:tblLayout w:type="fixed"/>
        <w:tblLook w:val="0400" w:firstRow="0" w:lastRow="0" w:firstColumn="0" w:lastColumn="0" w:noHBand="0" w:noVBand="1"/>
      </w:tblPr>
      <w:tblGrid>
        <w:gridCol w:w="1404"/>
        <w:gridCol w:w="1374"/>
        <w:gridCol w:w="1528"/>
        <w:gridCol w:w="972"/>
        <w:gridCol w:w="1405"/>
      </w:tblGrid>
      <w:tr w:rsidR="00F14898" w14:paraId="15572D56" w14:textId="77777777">
        <w:trPr>
          <w:jc w:val="center"/>
        </w:trPr>
        <w:tc>
          <w:tcPr>
            <w:tcW w:w="1404" w:type="dxa"/>
            <w:tcBorders>
              <w:top w:val="single" w:sz="4" w:space="0" w:color="000000"/>
              <w:bottom w:val="single" w:sz="4" w:space="0" w:color="000000"/>
            </w:tcBorders>
          </w:tcPr>
          <w:p w14:paraId="6BC27941" w14:textId="77777777" w:rsidR="00F14898" w:rsidRDefault="00F14898">
            <w:pPr>
              <w:widowControl w:val="0"/>
              <w:spacing w:after="0" w:line="240" w:lineRule="auto"/>
              <w:jc w:val="center"/>
              <w:rPr>
                <w:rFonts w:ascii="Times New Roman" w:eastAsia="Times New Roman" w:hAnsi="Times New Roman" w:cs="Times New Roman"/>
                <w:b/>
              </w:rPr>
            </w:pPr>
          </w:p>
          <w:p w14:paraId="1EB2A867"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Variabel</w:t>
            </w:r>
          </w:p>
        </w:tc>
        <w:tc>
          <w:tcPr>
            <w:tcW w:w="1374" w:type="dxa"/>
            <w:tcBorders>
              <w:top w:val="single" w:sz="4" w:space="0" w:color="000000"/>
              <w:bottom w:val="single" w:sz="4" w:space="0" w:color="000000"/>
            </w:tcBorders>
            <w:vAlign w:val="center"/>
          </w:tcPr>
          <w:p w14:paraId="46F33F93"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 Butir</w:t>
            </w:r>
          </w:p>
          <w:p w14:paraId="7CDAC12A"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Instrumen</w:t>
            </w:r>
          </w:p>
        </w:tc>
        <w:tc>
          <w:tcPr>
            <w:tcW w:w="1528" w:type="dxa"/>
            <w:tcBorders>
              <w:top w:val="single" w:sz="4" w:space="0" w:color="000000"/>
              <w:bottom w:val="single" w:sz="4" w:space="0" w:color="000000"/>
            </w:tcBorders>
            <w:vAlign w:val="center"/>
          </w:tcPr>
          <w:p w14:paraId="6F31757F" w14:textId="77777777" w:rsidR="00F14898" w:rsidRDefault="0087135B">
            <w:pPr>
              <w:widowControl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Correlation Pearson</w:t>
            </w:r>
          </w:p>
          <w:p w14:paraId="5775721C" w14:textId="77777777" w:rsidR="00F14898" w:rsidRDefault="0087135B">
            <w:pPr>
              <w:widowControl w:val="0"/>
              <w:spacing w:after="0" w:line="240" w:lineRule="auto"/>
              <w:jc w:val="center"/>
              <w:rPr>
                <w:rFonts w:ascii="Times New Roman" w:eastAsia="Times New Roman" w:hAnsi="Times New Roman" w:cs="Times New Roman"/>
                <w:vertAlign w:val="subscript"/>
              </w:rPr>
            </w:pPr>
            <w:r>
              <w:rPr>
                <w:rFonts w:ascii="Times New Roman" w:eastAsia="Times New Roman" w:hAnsi="Times New Roman" w:cs="Times New Roman"/>
                <w:b/>
              </w:rPr>
              <w:t xml:space="preserve">(r </w:t>
            </w:r>
            <w:r>
              <w:rPr>
                <w:rFonts w:ascii="Times New Roman" w:eastAsia="Times New Roman" w:hAnsi="Times New Roman" w:cs="Times New Roman"/>
                <w:b/>
                <w:vertAlign w:val="subscript"/>
              </w:rPr>
              <w:t>hitung)</w:t>
            </w:r>
          </w:p>
        </w:tc>
        <w:tc>
          <w:tcPr>
            <w:tcW w:w="972" w:type="dxa"/>
            <w:tcBorders>
              <w:top w:val="single" w:sz="4" w:space="0" w:color="000000"/>
              <w:bottom w:val="single" w:sz="4" w:space="0" w:color="000000"/>
            </w:tcBorders>
            <w:vAlign w:val="center"/>
          </w:tcPr>
          <w:p w14:paraId="4FA78871" w14:textId="77777777" w:rsidR="00F14898" w:rsidRDefault="0087135B">
            <w:pPr>
              <w:widowControl w:val="0"/>
              <w:spacing w:after="0" w:line="240" w:lineRule="auto"/>
              <w:jc w:val="center"/>
              <w:rPr>
                <w:rFonts w:ascii="Times New Roman" w:eastAsia="Times New Roman" w:hAnsi="Times New Roman" w:cs="Times New Roman"/>
                <w:b/>
                <w:vertAlign w:val="subscript"/>
              </w:rPr>
            </w:pPr>
            <w:r>
              <w:rPr>
                <w:rFonts w:ascii="Times New Roman" w:eastAsia="Times New Roman" w:hAnsi="Times New Roman" w:cs="Times New Roman"/>
                <w:b/>
              </w:rPr>
              <w:t xml:space="preserve">r </w:t>
            </w:r>
            <w:r>
              <w:rPr>
                <w:rFonts w:ascii="Times New Roman" w:eastAsia="Times New Roman" w:hAnsi="Times New Roman" w:cs="Times New Roman"/>
                <w:b/>
                <w:vertAlign w:val="subscript"/>
              </w:rPr>
              <w:t>table</w:t>
            </w:r>
          </w:p>
        </w:tc>
        <w:tc>
          <w:tcPr>
            <w:tcW w:w="1405" w:type="dxa"/>
            <w:tcBorders>
              <w:top w:val="single" w:sz="4" w:space="0" w:color="000000"/>
              <w:bottom w:val="single" w:sz="4" w:space="0" w:color="000000"/>
            </w:tcBorders>
            <w:vAlign w:val="center"/>
          </w:tcPr>
          <w:p w14:paraId="692A42F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Keterangan</w:t>
            </w:r>
          </w:p>
        </w:tc>
      </w:tr>
      <w:tr w:rsidR="00F14898" w14:paraId="1F3E56BB" w14:textId="77777777">
        <w:trPr>
          <w:jc w:val="center"/>
        </w:trPr>
        <w:tc>
          <w:tcPr>
            <w:tcW w:w="1404" w:type="dxa"/>
            <w:vMerge w:val="restart"/>
            <w:tcBorders>
              <w:top w:val="single" w:sz="4" w:space="0" w:color="000000"/>
            </w:tcBorders>
            <w:vAlign w:val="center"/>
          </w:tcPr>
          <w:p w14:paraId="4C72F38A"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Kualitas Pelayanan </w:t>
            </w:r>
          </w:p>
        </w:tc>
        <w:tc>
          <w:tcPr>
            <w:tcW w:w="1374" w:type="dxa"/>
            <w:tcBorders>
              <w:top w:val="single" w:sz="4" w:space="0" w:color="000000"/>
            </w:tcBorders>
            <w:vAlign w:val="center"/>
          </w:tcPr>
          <w:p w14:paraId="70F5D0EB"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28" w:type="dxa"/>
            <w:tcBorders>
              <w:top w:val="single" w:sz="4" w:space="0" w:color="000000"/>
            </w:tcBorders>
            <w:vAlign w:val="center"/>
          </w:tcPr>
          <w:p w14:paraId="215CB4C5"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0,745</w:t>
            </w:r>
          </w:p>
        </w:tc>
        <w:tc>
          <w:tcPr>
            <w:tcW w:w="972" w:type="dxa"/>
            <w:tcBorders>
              <w:top w:val="single" w:sz="4" w:space="0" w:color="000000"/>
            </w:tcBorders>
            <w:vAlign w:val="center"/>
          </w:tcPr>
          <w:p w14:paraId="7C8FA488"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Borders>
              <w:top w:val="single" w:sz="4" w:space="0" w:color="000000"/>
            </w:tcBorders>
            <w:vAlign w:val="center"/>
          </w:tcPr>
          <w:p w14:paraId="2DA7F3BD" w14:textId="77777777" w:rsidR="00F14898" w:rsidRDefault="0087135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Valid</w:t>
            </w:r>
          </w:p>
        </w:tc>
      </w:tr>
      <w:tr w:rsidR="00F14898" w14:paraId="5926F44E" w14:textId="77777777">
        <w:trPr>
          <w:jc w:val="center"/>
        </w:trPr>
        <w:tc>
          <w:tcPr>
            <w:tcW w:w="1404" w:type="dxa"/>
            <w:vMerge/>
            <w:tcBorders>
              <w:top w:val="single" w:sz="4" w:space="0" w:color="000000"/>
            </w:tcBorders>
            <w:vAlign w:val="center"/>
          </w:tcPr>
          <w:p w14:paraId="3591F8D5"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i/>
              </w:rPr>
            </w:pPr>
          </w:p>
        </w:tc>
        <w:tc>
          <w:tcPr>
            <w:tcW w:w="1374" w:type="dxa"/>
            <w:vAlign w:val="center"/>
          </w:tcPr>
          <w:p w14:paraId="3C03E65C"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28" w:type="dxa"/>
            <w:vAlign w:val="center"/>
          </w:tcPr>
          <w:p w14:paraId="7CA92F3C"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0,879</w:t>
            </w:r>
          </w:p>
        </w:tc>
        <w:tc>
          <w:tcPr>
            <w:tcW w:w="972" w:type="dxa"/>
          </w:tcPr>
          <w:p w14:paraId="01860C8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0E9A868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6CA4901D" w14:textId="77777777">
        <w:trPr>
          <w:jc w:val="center"/>
        </w:trPr>
        <w:tc>
          <w:tcPr>
            <w:tcW w:w="1404" w:type="dxa"/>
            <w:vMerge/>
            <w:tcBorders>
              <w:top w:val="single" w:sz="4" w:space="0" w:color="000000"/>
            </w:tcBorders>
            <w:vAlign w:val="center"/>
          </w:tcPr>
          <w:p w14:paraId="467739D4"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66F241F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28" w:type="dxa"/>
            <w:vAlign w:val="center"/>
          </w:tcPr>
          <w:p w14:paraId="76D8C92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0,901</w:t>
            </w:r>
          </w:p>
        </w:tc>
        <w:tc>
          <w:tcPr>
            <w:tcW w:w="972" w:type="dxa"/>
          </w:tcPr>
          <w:p w14:paraId="75A936F4"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77AE1690"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6EC5F758" w14:textId="77777777">
        <w:trPr>
          <w:jc w:val="center"/>
        </w:trPr>
        <w:tc>
          <w:tcPr>
            <w:tcW w:w="1404" w:type="dxa"/>
            <w:vMerge/>
            <w:tcBorders>
              <w:top w:val="single" w:sz="4" w:space="0" w:color="000000"/>
            </w:tcBorders>
            <w:vAlign w:val="center"/>
          </w:tcPr>
          <w:p w14:paraId="0039A7D8"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EE8ADF6"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28" w:type="dxa"/>
            <w:vAlign w:val="center"/>
          </w:tcPr>
          <w:p w14:paraId="7F667B7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0,902</w:t>
            </w:r>
          </w:p>
        </w:tc>
        <w:tc>
          <w:tcPr>
            <w:tcW w:w="972" w:type="dxa"/>
          </w:tcPr>
          <w:p w14:paraId="199AE52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66553B04"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3A61D458" w14:textId="77777777">
        <w:trPr>
          <w:jc w:val="center"/>
        </w:trPr>
        <w:tc>
          <w:tcPr>
            <w:tcW w:w="1404" w:type="dxa"/>
            <w:vMerge/>
            <w:tcBorders>
              <w:top w:val="single" w:sz="4" w:space="0" w:color="000000"/>
            </w:tcBorders>
            <w:vAlign w:val="center"/>
          </w:tcPr>
          <w:p w14:paraId="3BAEE494"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F83D41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28" w:type="dxa"/>
            <w:vAlign w:val="center"/>
          </w:tcPr>
          <w:p w14:paraId="3F6D27EA"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0,867</w:t>
            </w:r>
          </w:p>
        </w:tc>
        <w:tc>
          <w:tcPr>
            <w:tcW w:w="972" w:type="dxa"/>
          </w:tcPr>
          <w:p w14:paraId="59A10B81"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1243495B"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7425B9CB" w14:textId="77777777">
        <w:trPr>
          <w:jc w:val="center"/>
        </w:trPr>
        <w:tc>
          <w:tcPr>
            <w:tcW w:w="1404" w:type="dxa"/>
            <w:vMerge/>
            <w:tcBorders>
              <w:top w:val="single" w:sz="4" w:space="0" w:color="000000"/>
            </w:tcBorders>
            <w:vAlign w:val="center"/>
          </w:tcPr>
          <w:p w14:paraId="561BF4DB"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098D5AF1"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28" w:type="dxa"/>
            <w:vAlign w:val="center"/>
          </w:tcPr>
          <w:p w14:paraId="0EE679D0"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0,722</w:t>
            </w:r>
          </w:p>
        </w:tc>
        <w:tc>
          <w:tcPr>
            <w:tcW w:w="972" w:type="dxa"/>
          </w:tcPr>
          <w:p w14:paraId="3ADBE51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20F1B7D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69F9EC45" w14:textId="77777777">
        <w:trPr>
          <w:jc w:val="center"/>
        </w:trPr>
        <w:tc>
          <w:tcPr>
            <w:tcW w:w="1404" w:type="dxa"/>
            <w:vMerge/>
            <w:tcBorders>
              <w:top w:val="single" w:sz="4" w:space="0" w:color="000000"/>
            </w:tcBorders>
            <w:vAlign w:val="center"/>
          </w:tcPr>
          <w:p w14:paraId="66559E06"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7D9C40F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528" w:type="dxa"/>
            <w:vAlign w:val="center"/>
          </w:tcPr>
          <w:p w14:paraId="6E7630EE"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0,883</w:t>
            </w:r>
          </w:p>
        </w:tc>
        <w:tc>
          <w:tcPr>
            <w:tcW w:w="972" w:type="dxa"/>
          </w:tcPr>
          <w:p w14:paraId="47400097"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7D636A8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6C88CA6D" w14:textId="77777777">
        <w:trPr>
          <w:jc w:val="center"/>
        </w:trPr>
        <w:tc>
          <w:tcPr>
            <w:tcW w:w="1404" w:type="dxa"/>
            <w:vMerge/>
            <w:tcBorders>
              <w:top w:val="single" w:sz="4" w:space="0" w:color="000000"/>
            </w:tcBorders>
            <w:vAlign w:val="center"/>
          </w:tcPr>
          <w:p w14:paraId="33E9F466"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151C506"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528" w:type="dxa"/>
            <w:vAlign w:val="center"/>
          </w:tcPr>
          <w:p w14:paraId="29003419"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0,789</w:t>
            </w:r>
          </w:p>
        </w:tc>
        <w:tc>
          <w:tcPr>
            <w:tcW w:w="972" w:type="dxa"/>
          </w:tcPr>
          <w:p w14:paraId="07DB7069"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0874310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349143D9" w14:textId="77777777">
        <w:trPr>
          <w:jc w:val="center"/>
        </w:trPr>
        <w:tc>
          <w:tcPr>
            <w:tcW w:w="1404" w:type="dxa"/>
            <w:vMerge/>
            <w:tcBorders>
              <w:top w:val="single" w:sz="4" w:space="0" w:color="000000"/>
            </w:tcBorders>
            <w:vAlign w:val="center"/>
          </w:tcPr>
          <w:p w14:paraId="56CABA59"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A5BC0D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528" w:type="dxa"/>
            <w:vAlign w:val="center"/>
          </w:tcPr>
          <w:p w14:paraId="6D0125FB"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0,823</w:t>
            </w:r>
          </w:p>
        </w:tc>
        <w:tc>
          <w:tcPr>
            <w:tcW w:w="972" w:type="dxa"/>
          </w:tcPr>
          <w:p w14:paraId="601B0B6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0890C2E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bl>
    <w:p w14:paraId="43E4BD50" w14:textId="77777777" w:rsidR="00F14898" w:rsidRDefault="0087135B">
      <w:pPr>
        <w:widowControl w:val="0"/>
        <w:spacing w:after="0" w:line="240" w:lineRule="auto"/>
        <w:ind w:left="141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Data dengan SPSS 25, 2023</w:t>
      </w:r>
    </w:p>
    <w:p w14:paraId="393F8BF7"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55E95DC4" w14:textId="77777777" w:rsidR="00F14898" w:rsidRDefault="0087135B">
      <w:pPr>
        <w:widowControl w:val="0"/>
        <w:spacing w:after="120" w:line="240" w:lineRule="auto"/>
        <w:jc w:val="both"/>
        <w:rPr>
          <w:rFonts w:ascii="Times New Roman" w:eastAsia="Times New Roman" w:hAnsi="Times New Roman" w:cs="Times New Roman"/>
          <w:sz w:val="24"/>
          <w:szCs w:val="24"/>
        </w:rPr>
      </w:pPr>
      <w:bookmarkStart w:id="4" w:name="_heading=h.30j0zll" w:colFirst="0" w:colLast="0"/>
      <w:bookmarkEnd w:id="4"/>
      <w:r>
        <w:rPr>
          <w:rFonts w:ascii="Times New Roman" w:eastAsia="Times New Roman" w:hAnsi="Times New Roman" w:cs="Times New Roman"/>
          <w:sz w:val="24"/>
          <w:szCs w:val="24"/>
        </w:rPr>
        <w:t>Berdasarkan hasil uji validitas yang ditunjukkan pada tabel 1, setiap butir pernyataan variabel Kualitas Pelayanan dan Keputusan Pembelian memiliki nilai rhitung di atas 0,172. Dengan demikian, setiap butir pernyataan dinyatakan valid. Jika rhitung lebih k</w:t>
      </w:r>
      <w:r>
        <w:rPr>
          <w:rFonts w:ascii="Times New Roman" w:eastAsia="Times New Roman" w:hAnsi="Times New Roman" w:cs="Times New Roman"/>
          <w:sz w:val="24"/>
          <w:szCs w:val="24"/>
        </w:rPr>
        <w:t>ecil dari rtabel, yaitu &lt; 0,172 untuk jumlah responden sebanyak 92 orang, maka butir pernyataan tersebut akan dinyatakan tidak valid. Karena semua instrumen dalam tabel 1 dinyatakan valid, instrumen ini layak untuk digunakan dalam pengumpulan data peneliti</w:t>
      </w:r>
      <w:r>
        <w:rPr>
          <w:rFonts w:ascii="Times New Roman" w:eastAsia="Times New Roman" w:hAnsi="Times New Roman" w:cs="Times New Roman"/>
          <w:sz w:val="24"/>
          <w:szCs w:val="24"/>
        </w:rPr>
        <w:t>an lebih lanjut.</w:t>
      </w:r>
    </w:p>
    <w:p w14:paraId="74BF1CA4"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62BAA3C1"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2D291DC6"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1D67F5AC"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38487890"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4F46052D"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4C417985"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06DFCBEC"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529EBFBA"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2F2E15BE"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1604E554"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54DE900C"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7948EF9A" w14:textId="77777777" w:rsidR="00F14898" w:rsidRDefault="0087135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2. Hasil Uji Validitas Variabel Keputusan Pembelian </w:t>
      </w:r>
    </w:p>
    <w:p w14:paraId="7E1CDF94" w14:textId="77777777" w:rsidR="00F14898" w:rsidRDefault="00F14898">
      <w:pPr>
        <w:widowControl w:val="0"/>
        <w:spacing w:after="0" w:line="240" w:lineRule="auto"/>
        <w:jc w:val="both"/>
        <w:rPr>
          <w:rFonts w:ascii="Times New Roman" w:eastAsia="Times New Roman" w:hAnsi="Times New Roman" w:cs="Times New Roman"/>
          <w:b/>
          <w:sz w:val="24"/>
          <w:szCs w:val="24"/>
        </w:rPr>
      </w:pPr>
    </w:p>
    <w:tbl>
      <w:tblPr>
        <w:tblStyle w:val="a6"/>
        <w:tblW w:w="6683" w:type="dxa"/>
        <w:jc w:val="center"/>
        <w:tblBorders>
          <w:top w:val="single" w:sz="4" w:space="0" w:color="000000"/>
          <w:bottom w:val="single" w:sz="4" w:space="0" w:color="000000"/>
        </w:tblBorders>
        <w:tblLayout w:type="fixed"/>
        <w:tblLook w:val="0400" w:firstRow="0" w:lastRow="0" w:firstColumn="0" w:lastColumn="0" w:noHBand="0" w:noVBand="1"/>
      </w:tblPr>
      <w:tblGrid>
        <w:gridCol w:w="1404"/>
        <w:gridCol w:w="1374"/>
        <w:gridCol w:w="1528"/>
        <w:gridCol w:w="972"/>
        <w:gridCol w:w="1405"/>
      </w:tblGrid>
      <w:tr w:rsidR="00F14898" w14:paraId="02AD8EBD" w14:textId="77777777">
        <w:trPr>
          <w:jc w:val="center"/>
        </w:trPr>
        <w:tc>
          <w:tcPr>
            <w:tcW w:w="1404" w:type="dxa"/>
          </w:tcPr>
          <w:p w14:paraId="34BA1BB0" w14:textId="77777777" w:rsidR="00F14898" w:rsidRDefault="00F14898">
            <w:pPr>
              <w:widowControl w:val="0"/>
              <w:spacing w:after="0" w:line="240" w:lineRule="auto"/>
              <w:jc w:val="center"/>
              <w:rPr>
                <w:rFonts w:ascii="Times New Roman" w:eastAsia="Times New Roman" w:hAnsi="Times New Roman" w:cs="Times New Roman"/>
                <w:b/>
              </w:rPr>
            </w:pPr>
          </w:p>
          <w:p w14:paraId="62C51091"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Variabel</w:t>
            </w:r>
          </w:p>
        </w:tc>
        <w:tc>
          <w:tcPr>
            <w:tcW w:w="1374" w:type="dxa"/>
            <w:vAlign w:val="center"/>
          </w:tcPr>
          <w:p w14:paraId="3D197E84"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 Butir</w:t>
            </w:r>
          </w:p>
          <w:p w14:paraId="161760C0" w14:textId="77777777" w:rsidR="00F14898" w:rsidRDefault="0087135B">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Instrumen</w:t>
            </w:r>
          </w:p>
        </w:tc>
        <w:tc>
          <w:tcPr>
            <w:tcW w:w="1528" w:type="dxa"/>
            <w:vAlign w:val="center"/>
          </w:tcPr>
          <w:p w14:paraId="19E77494" w14:textId="77777777" w:rsidR="00F14898" w:rsidRDefault="0087135B">
            <w:pPr>
              <w:widowControl w:val="0"/>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Correlation Pearson</w:t>
            </w:r>
          </w:p>
          <w:p w14:paraId="5F700889" w14:textId="77777777" w:rsidR="00F14898" w:rsidRDefault="0087135B">
            <w:pPr>
              <w:widowControl w:val="0"/>
              <w:spacing w:after="0" w:line="240" w:lineRule="auto"/>
              <w:jc w:val="center"/>
              <w:rPr>
                <w:rFonts w:ascii="Times New Roman" w:eastAsia="Times New Roman" w:hAnsi="Times New Roman" w:cs="Times New Roman"/>
                <w:vertAlign w:val="subscript"/>
              </w:rPr>
            </w:pPr>
            <w:r>
              <w:rPr>
                <w:rFonts w:ascii="Times New Roman" w:eastAsia="Times New Roman" w:hAnsi="Times New Roman" w:cs="Times New Roman"/>
                <w:b/>
              </w:rPr>
              <w:t xml:space="preserve">(r </w:t>
            </w:r>
            <w:r>
              <w:rPr>
                <w:rFonts w:ascii="Times New Roman" w:eastAsia="Times New Roman" w:hAnsi="Times New Roman" w:cs="Times New Roman"/>
                <w:b/>
                <w:vertAlign w:val="subscript"/>
              </w:rPr>
              <w:t>hitung)</w:t>
            </w:r>
          </w:p>
        </w:tc>
        <w:tc>
          <w:tcPr>
            <w:tcW w:w="972" w:type="dxa"/>
            <w:vAlign w:val="center"/>
          </w:tcPr>
          <w:p w14:paraId="68046781" w14:textId="77777777" w:rsidR="00F14898" w:rsidRDefault="0087135B">
            <w:pPr>
              <w:widowControl w:val="0"/>
              <w:spacing w:after="0" w:line="240" w:lineRule="auto"/>
              <w:jc w:val="center"/>
              <w:rPr>
                <w:rFonts w:ascii="Times New Roman" w:eastAsia="Times New Roman" w:hAnsi="Times New Roman" w:cs="Times New Roman"/>
                <w:b/>
                <w:vertAlign w:val="subscript"/>
              </w:rPr>
            </w:pPr>
            <w:r>
              <w:rPr>
                <w:rFonts w:ascii="Times New Roman" w:eastAsia="Times New Roman" w:hAnsi="Times New Roman" w:cs="Times New Roman"/>
                <w:b/>
              </w:rPr>
              <w:t xml:space="preserve">r </w:t>
            </w:r>
            <w:r>
              <w:rPr>
                <w:rFonts w:ascii="Times New Roman" w:eastAsia="Times New Roman" w:hAnsi="Times New Roman" w:cs="Times New Roman"/>
                <w:b/>
                <w:vertAlign w:val="subscript"/>
              </w:rPr>
              <w:t>table</w:t>
            </w:r>
          </w:p>
        </w:tc>
        <w:tc>
          <w:tcPr>
            <w:tcW w:w="1405" w:type="dxa"/>
            <w:vAlign w:val="center"/>
          </w:tcPr>
          <w:p w14:paraId="0C03A3B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Keterangan</w:t>
            </w:r>
          </w:p>
        </w:tc>
      </w:tr>
      <w:tr w:rsidR="00F14898" w14:paraId="5F63071D" w14:textId="77777777">
        <w:trPr>
          <w:jc w:val="center"/>
        </w:trPr>
        <w:tc>
          <w:tcPr>
            <w:tcW w:w="1404" w:type="dxa"/>
            <w:vMerge w:val="restart"/>
            <w:vAlign w:val="center"/>
          </w:tcPr>
          <w:p w14:paraId="57498C8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Keputusan Pembelian </w:t>
            </w:r>
          </w:p>
        </w:tc>
        <w:tc>
          <w:tcPr>
            <w:tcW w:w="1374" w:type="dxa"/>
            <w:vAlign w:val="center"/>
          </w:tcPr>
          <w:p w14:paraId="3BA1D74A"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1528" w:type="dxa"/>
            <w:vAlign w:val="center"/>
          </w:tcPr>
          <w:p w14:paraId="4ACD0919"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0,805</w:t>
            </w:r>
          </w:p>
        </w:tc>
        <w:tc>
          <w:tcPr>
            <w:tcW w:w="972" w:type="dxa"/>
            <w:vAlign w:val="center"/>
          </w:tcPr>
          <w:p w14:paraId="36E2EE68"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vAlign w:val="center"/>
          </w:tcPr>
          <w:p w14:paraId="3AE0DBF5" w14:textId="77777777" w:rsidR="00F14898" w:rsidRDefault="0087135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Valid</w:t>
            </w:r>
          </w:p>
        </w:tc>
      </w:tr>
      <w:tr w:rsidR="00F14898" w14:paraId="0C2541A6" w14:textId="77777777">
        <w:trPr>
          <w:jc w:val="center"/>
        </w:trPr>
        <w:tc>
          <w:tcPr>
            <w:tcW w:w="1404" w:type="dxa"/>
            <w:vMerge/>
            <w:vAlign w:val="center"/>
          </w:tcPr>
          <w:p w14:paraId="7514DDD1"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i/>
              </w:rPr>
            </w:pPr>
          </w:p>
        </w:tc>
        <w:tc>
          <w:tcPr>
            <w:tcW w:w="1374" w:type="dxa"/>
            <w:vAlign w:val="center"/>
          </w:tcPr>
          <w:p w14:paraId="3C8E858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1528" w:type="dxa"/>
            <w:vAlign w:val="center"/>
          </w:tcPr>
          <w:p w14:paraId="42A637FB"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0,736</w:t>
            </w:r>
          </w:p>
        </w:tc>
        <w:tc>
          <w:tcPr>
            <w:tcW w:w="972" w:type="dxa"/>
          </w:tcPr>
          <w:p w14:paraId="7DBE7624"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0EC73ABE"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4825A93C" w14:textId="77777777">
        <w:trPr>
          <w:jc w:val="center"/>
        </w:trPr>
        <w:tc>
          <w:tcPr>
            <w:tcW w:w="1404" w:type="dxa"/>
            <w:vMerge/>
            <w:vAlign w:val="center"/>
          </w:tcPr>
          <w:p w14:paraId="0C5440BE"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17447EC9"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1528" w:type="dxa"/>
            <w:vAlign w:val="center"/>
          </w:tcPr>
          <w:p w14:paraId="39C09C9E"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0,837</w:t>
            </w:r>
          </w:p>
        </w:tc>
        <w:tc>
          <w:tcPr>
            <w:tcW w:w="972" w:type="dxa"/>
          </w:tcPr>
          <w:p w14:paraId="2D452AB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5183CB9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23A220D6" w14:textId="77777777">
        <w:trPr>
          <w:jc w:val="center"/>
        </w:trPr>
        <w:tc>
          <w:tcPr>
            <w:tcW w:w="1404" w:type="dxa"/>
            <w:vMerge/>
            <w:vAlign w:val="center"/>
          </w:tcPr>
          <w:p w14:paraId="67DA2CAD"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7F0C66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1528" w:type="dxa"/>
            <w:vAlign w:val="center"/>
          </w:tcPr>
          <w:p w14:paraId="2AF96525"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0,773</w:t>
            </w:r>
          </w:p>
        </w:tc>
        <w:tc>
          <w:tcPr>
            <w:tcW w:w="972" w:type="dxa"/>
          </w:tcPr>
          <w:p w14:paraId="3CAA0798"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61F2332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67BA7734" w14:textId="77777777">
        <w:trPr>
          <w:jc w:val="center"/>
        </w:trPr>
        <w:tc>
          <w:tcPr>
            <w:tcW w:w="1404" w:type="dxa"/>
            <w:vMerge/>
            <w:vAlign w:val="center"/>
          </w:tcPr>
          <w:p w14:paraId="1DD28344"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30029328"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1528" w:type="dxa"/>
            <w:vAlign w:val="center"/>
          </w:tcPr>
          <w:p w14:paraId="6DD43BF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0,827</w:t>
            </w:r>
          </w:p>
        </w:tc>
        <w:tc>
          <w:tcPr>
            <w:tcW w:w="972" w:type="dxa"/>
          </w:tcPr>
          <w:p w14:paraId="020E9702"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04C3D476"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4388DCF2" w14:textId="77777777">
        <w:trPr>
          <w:jc w:val="center"/>
        </w:trPr>
        <w:tc>
          <w:tcPr>
            <w:tcW w:w="1404" w:type="dxa"/>
            <w:vMerge/>
            <w:vAlign w:val="center"/>
          </w:tcPr>
          <w:p w14:paraId="777BE988"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67BB0DA6"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1528" w:type="dxa"/>
            <w:vAlign w:val="center"/>
          </w:tcPr>
          <w:p w14:paraId="0E079444"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0,774</w:t>
            </w:r>
          </w:p>
        </w:tc>
        <w:tc>
          <w:tcPr>
            <w:tcW w:w="972" w:type="dxa"/>
          </w:tcPr>
          <w:p w14:paraId="53CFAAF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60DE1999"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573BF9C3" w14:textId="77777777">
        <w:trPr>
          <w:jc w:val="center"/>
        </w:trPr>
        <w:tc>
          <w:tcPr>
            <w:tcW w:w="1404" w:type="dxa"/>
            <w:vMerge/>
            <w:vAlign w:val="center"/>
          </w:tcPr>
          <w:p w14:paraId="74910C00"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7B863EE7"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1528" w:type="dxa"/>
            <w:vAlign w:val="center"/>
          </w:tcPr>
          <w:p w14:paraId="68281B20"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0,752</w:t>
            </w:r>
          </w:p>
        </w:tc>
        <w:tc>
          <w:tcPr>
            <w:tcW w:w="972" w:type="dxa"/>
          </w:tcPr>
          <w:p w14:paraId="65A59A87"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1D260935"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34146C90" w14:textId="77777777">
        <w:trPr>
          <w:jc w:val="center"/>
        </w:trPr>
        <w:tc>
          <w:tcPr>
            <w:tcW w:w="1404" w:type="dxa"/>
            <w:vMerge/>
            <w:vAlign w:val="center"/>
          </w:tcPr>
          <w:p w14:paraId="32E9A0EE"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47CFA44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528" w:type="dxa"/>
            <w:vAlign w:val="center"/>
          </w:tcPr>
          <w:p w14:paraId="03DEEFA6"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0,799</w:t>
            </w:r>
          </w:p>
        </w:tc>
        <w:tc>
          <w:tcPr>
            <w:tcW w:w="972" w:type="dxa"/>
          </w:tcPr>
          <w:p w14:paraId="1A9C6655"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7D0E991A"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4AE10853" w14:textId="77777777">
        <w:trPr>
          <w:jc w:val="center"/>
        </w:trPr>
        <w:tc>
          <w:tcPr>
            <w:tcW w:w="1404" w:type="dxa"/>
            <w:vMerge/>
            <w:vAlign w:val="center"/>
          </w:tcPr>
          <w:p w14:paraId="0E959C5E"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1C9C83A3"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1528" w:type="dxa"/>
            <w:vAlign w:val="center"/>
          </w:tcPr>
          <w:p w14:paraId="3B72D49D"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0,748</w:t>
            </w:r>
          </w:p>
        </w:tc>
        <w:tc>
          <w:tcPr>
            <w:tcW w:w="972" w:type="dxa"/>
          </w:tcPr>
          <w:p w14:paraId="3F53610E"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7CBF1DA4"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i/>
              </w:rPr>
              <w:t>Valid</w:t>
            </w:r>
          </w:p>
        </w:tc>
      </w:tr>
      <w:tr w:rsidR="00F14898" w14:paraId="06C4F36D" w14:textId="77777777">
        <w:trPr>
          <w:jc w:val="center"/>
        </w:trPr>
        <w:tc>
          <w:tcPr>
            <w:tcW w:w="1404" w:type="dxa"/>
            <w:vMerge/>
            <w:vAlign w:val="center"/>
          </w:tcPr>
          <w:p w14:paraId="360939C9"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rPr>
            </w:pPr>
          </w:p>
        </w:tc>
        <w:tc>
          <w:tcPr>
            <w:tcW w:w="1374" w:type="dxa"/>
            <w:vAlign w:val="center"/>
          </w:tcPr>
          <w:p w14:paraId="1AFAA17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1528" w:type="dxa"/>
            <w:vAlign w:val="center"/>
          </w:tcPr>
          <w:p w14:paraId="1C1257EF"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0,769</w:t>
            </w:r>
          </w:p>
        </w:tc>
        <w:tc>
          <w:tcPr>
            <w:tcW w:w="972" w:type="dxa"/>
          </w:tcPr>
          <w:p w14:paraId="06C43AA7" w14:textId="77777777" w:rsidR="00F14898" w:rsidRDefault="0087135B">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0,172</w:t>
            </w:r>
          </w:p>
        </w:tc>
        <w:tc>
          <w:tcPr>
            <w:tcW w:w="1405" w:type="dxa"/>
          </w:tcPr>
          <w:p w14:paraId="310ACF71" w14:textId="77777777" w:rsidR="00F14898" w:rsidRDefault="0087135B">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Valid</w:t>
            </w:r>
          </w:p>
        </w:tc>
      </w:tr>
    </w:tbl>
    <w:p w14:paraId="4CBB5A1D" w14:textId="77777777" w:rsidR="00F14898" w:rsidRDefault="0087135B">
      <w:pPr>
        <w:widowControl w:val="0"/>
        <w:spacing w:after="0" w:line="240" w:lineRule="auto"/>
        <w:ind w:left="141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Data dengan SPSS 25, 2023</w:t>
      </w:r>
    </w:p>
    <w:p w14:paraId="4A7CE93F"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350CE02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uji validitas yang tercantum dalam Tabel 2, setiap butir pernyataan mengenai variabel kualitas pelayanan dan keputusan pembelian menunjukkan nilai rhitung di atas 0,172. Dengan demikian,</w:t>
      </w:r>
      <w:r>
        <w:rPr>
          <w:rFonts w:ascii="Times New Roman" w:eastAsia="Times New Roman" w:hAnsi="Times New Roman" w:cs="Times New Roman"/>
          <w:sz w:val="24"/>
          <w:szCs w:val="24"/>
        </w:rPr>
        <w:t xml:space="preserve"> semua butir pernyataan dapat dianggap valid. Jika nilai rhitung lebih kecil dari rtabel, yaitu &lt; 0,172 untuk jumlah responden sebanyak 92 orang, maka butir pernyataan tersebut tidak akan dinyatakan valid. Dengan hasil uji validitas yang menunjukkan semua </w:t>
      </w:r>
      <w:r>
        <w:rPr>
          <w:rFonts w:ascii="Times New Roman" w:eastAsia="Times New Roman" w:hAnsi="Times New Roman" w:cs="Times New Roman"/>
          <w:sz w:val="24"/>
          <w:szCs w:val="24"/>
        </w:rPr>
        <w:t>instrumen dalam Tabel 2 valid, maka instrumen ini dapat diandalkan dalam pengumpulan data penelitian selanjutnya.</w:t>
      </w:r>
    </w:p>
    <w:p w14:paraId="49FF9F24"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6E890EA7" w14:textId="77777777" w:rsidR="00F14898" w:rsidRDefault="0087135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Uji Reliabilitas </w:t>
      </w:r>
    </w:p>
    <w:p w14:paraId="1B04100F"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05E8DECD" w14:textId="77777777" w:rsidR="00F14898" w:rsidRDefault="0087135B">
      <w:pPr>
        <w:widowControl w:val="0"/>
        <w:spacing w:after="0" w:line="240" w:lineRule="auto"/>
        <w:jc w:val="center"/>
        <w:rPr>
          <w:rFonts w:ascii="Times New Roman" w:eastAsia="Times New Roman" w:hAnsi="Times New Roman" w:cs="Times New Roman"/>
          <w:b/>
          <w:sz w:val="24"/>
          <w:szCs w:val="24"/>
        </w:rPr>
      </w:pPr>
      <w:bookmarkStart w:id="5" w:name="_heading=h.1fob9te" w:colFirst="0" w:colLast="0"/>
      <w:bookmarkEnd w:id="5"/>
      <w:r>
        <w:rPr>
          <w:rFonts w:ascii="Times New Roman" w:eastAsia="Times New Roman" w:hAnsi="Times New Roman" w:cs="Times New Roman"/>
          <w:b/>
          <w:sz w:val="24"/>
          <w:szCs w:val="24"/>
        </w:rPr>
        <w:t xml:space="preserve">Tabel 3. Hasil Uji Reliabilitas Variabel Kualitas Pelayanan </w:t>
      </w:r>
    </w:p>
    <w:p w14:paraId="51B81FA9" w14:textId="77777777" w:rsidR="00F14898" w:rsidRDefault="0087135B">
      <w:pPr>
        <w:widowControl w:val="0"/>
        <w:spacing w:after="0" w:line="240" w:lineRule="auto"/>
        <w:ind w:left="184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Reliability Statistics</w:t>
      </w:r>
    </w:p>
    <w:tbl>
      <w:tblPr>
        <w:tblStyle w:val="a7"/>
        <w:tblW w:w="5630" w:type="dxa"/>
        <w:jc w:val="center"/>
        <w:tblBorders>
          <w:top w:val="single" w:sz="4" w:space="0" w:color="000000"/>
          <w:bottom w:val="single" w:sz="4" w:space="0" w:color="000000"/>
        </w:tblBorders>
        <w:tblLayout w:type="fixed"/>
        <w:tblLook w:val="0400" w:firstRow="0" w:lastRow="0" w:firstColumn="0" w:lastColumn="0" w:noHBand="0" w:noVBand="1"/>
      </w:tblPr>
      <w:tblGrid>
        <w:gridCol w:w="1848"/>
        <w:gridCol w:w="1898"/>
        <w:gridCol w:w="936"/>
        <w:gridCol w:w="948"/>
      </w:tblGrid>
      <w:tr w:rsidR="00F14898" w14:paraId="5C3DBDA8" w14:textId="77777777">
        <w:trPr>
          <w:trHeight w:val="324"/>
          <w:jc w:val="center"/>
        </w:trPr>
        <w:tc>
          <w:tcPr>
            <w:tcW w:w="5630" w:type="dxa"/>
            <w:gridSpan w:val="4"/>
            <w:tcBorders>
              <w:bottom w:val="single" w:sz="4" w:space="0" w:color="000000"/>
            </w:tcBorders>
          </w:tcPr>
          <w:p w14:paraId="1FA3714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Case Processing Summary </w:t>
            </w:r>
          </w:p>
        </w:tc>
      </w:tr>
      <w:tr w:rsidR="00F14898" w14:paraId="2876953E" w14:textId="77777777">
        <w:trPr>
          <w:trHeight w:val="326"/>
          <w:jc w:val="center"/>
        </w:trPr>
        <w:tc>
          <w:tcPr>
            <w:tcW w:w="3746" w:type="dxa"/>
            <w:gridSpan w:val="2"/>
            <w:tcBorders>
              <w:top w:val="single" w:sz="4" w:space="0" w:color="000000"/>
              <w:bottom w:val="single" w:sz="4" w:space="0" w:color="000000"/>
            </w:tcBorders>
          </w:tcPr>
          <w:p w14:paraId="47A1C27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36" w:type="dxa"/>
            <w:tcBorders>
              <w:top w:val="single" w:sz="4" w:space="0" w:color="000000"/>
              <w:bottom w:val="single" w:sz="4" w:space="0" w:color="000000"/>
            </w:tcBorders>
          </w:tcPr>
          <w:p w14:paraId="23ADAF9D"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948" w:type="dxa"/>
            <w:tcBorders>
              <w:top w:val="single" w:sz="4" w:space="0" w:color="000000"/>
              <w:bottom w:val="single" w:sz="4" w:space="0" w:color="000000"/>
            </w:tcBorders>
          </w:tcPr>
          <w:p w14:paraId="5936DAD9"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14898" w14:paraId="26A42589" w14:textId="77777777">
        <w:trPr>
          <w:trHeight w:val="324"/>
          <w:jc w:val="center"/>
        </w:trPr>
        <w:tc>
          <w:tcPr>
            <w:tcW w:w="1848" w:type="dxa"/>
            <w:vMerge w:val="restart"/>
            <w:tcBorders>
              <w:top w:val="single" w:sz="4" w:space="0" w:color="000000"/>
              <w:bottom w:val="nil"/>
            </w:tcBorders>
          </w:tcPr>
          <w:p w14:paraId="6848404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Cases </w:t>
            </w:r>
          </w:p>
        </w:tc>
        <w:tc>
          <w:tcPr>
            <w:tcW w:w="1898" w:type="dxa"/>
            <w:tcBorders>
              <w:top w:val="single" w:sz="4" w:space="0" w:color="000000"/>
              <w:bottom w:val="nil"/>
            </w:tcBorders>
          </w:tcPr>
          <w:p w14:paraId="36D65B41"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w:t>
            </w:r>
          </w:p>
        </w:tc>
        <w:tc>
          <w:tcPr>
            <w:tcW w:w="936" w:type="dxa"/>
            <w:tcBorders>
              <w:top w:val="single" w:sz="4" w:space="0" w:color="000000"/>
              <w:bottom w:val="nil"/>
            </w:tcBorders>
          </w:tcPr>
          <w:p w14:paraId="58778B54"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48" w:type="dxa"/>
            <w:tcBorders>
              <w:top w:val="single" w:sz="4" w:space="0" w:color="000000"/>
              <w:bottom w:val="nil"/>
            </w:tcBorders>
          </w:tcPr>
          <w:p w14:paraId="7D28F0A0"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14898" w14:paraId="3C070E6A" w14:textId="77777777">
        <w:trPr>
          <w:trHeight w:val="393"/>
          <w:jc w:val="center"/>
        </w:trPr>
        <w:tc>
          <w:tcPr>
            <w:tcW w:w="1848" w:type="dxa"/>
            <w:vMerge/>
            <w:tcBorders>
              <w:top w:val="single" w:sz="4" w:space="0" w:color="000000"/>
              <w:bottom w:val="nil"/>
            </w:tcBorders>
          </w:tcPr>
          <w:p w14:paraId="0240B28B"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98" w:type="dxa"/>
            <w:tcBorders>
              <w:top w:val="nil"/>
            </w:tcBorders>
          </w:tcPr>
          <w:p w14:paraId="070E33B3"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Excluded</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w:t>
            </w:r>
          </w:p>
        </w:tc>
        <w:tc>
          <w:tcPr>
            <w:tcW w:w="936" w:type="dxa"/>
            <w:tcBorders>
              <w:top w:val="nil"/>
            </w:tcBorders>
          </w:tcPr>
          <w:p w14:paraId="46E20C28"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48" w:type="dxa"/>
            <w:tcBorders>
              <w:top w:val="nil"/>
            </w:tcBorders>
          </w:tcPr>
          <w:p w14:paraId="68F938DB"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14898" w14:paraId="5E684DA0" w14:textId="77777777">
        <w:trPr>
          <w:trHeight w:val="324"/>
          <w:jc w:val="center"/>
        </w:trPr>
        <w:tc>
          <w:tcPr>
            <w:tcW w:w="1848" w:type="dxa"/>
            <w:vMerge/>
            <w:tcBorders>
              <w:top w:val="single" w:sz="4" w:space="0" w:color="000000"/>
              <w:bottom w:val="nil"/>
            </w:tcBorders>
          </w:tcPr>
          <w:p w14:paraId="75C0BEB6"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898" w:type="dxa"/>
          </w:tcPr>
          <w:p w14:paraId="7E6153E2"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936" w:type="dxa"/>
          </w:tcPr>
          <w:p w14:paraId="76DC0A65"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948" w:type="dxa"/>
          </w:tcPr>
          <w:p w14:paraId="7287CA49"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14898" w14:paraId="0525D470" w14:textId="77777777">
        <w:trPr>
          <w:trHeight w:val="347"/>
          <w:jc w:val="center"/>
        </w:trPr>
        <w:tc>
          <w:tcPr>
            <w:tcW w:w="5630" w:type="dxa"/>
            <w:gridSpan w:val="4"/>
          </w:tcPr>
          <w:p w14:paraId="6276DDBF"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Listwise deletion based on all variables in the procedure. </w:t>
            </w:r>
          </w:p>
        </w:tc>
      </w:tr>
    </w:tbl>
    <w:p w14:paraId="17537D52" w14:textId="77777777" w:rsidR="00F14898" w:rsidRDefault="00F14898">
      <w:pPr>
        <w:widowControl w:val="0"/>
        <w:spacing w:after="0" w:line="240" w:lineRule="auto"/>
        <w:jc w:val="both"/>
        <w:rPr>
          <w:rFonts w:ascii="Times New Roman" w:eastAsia="Times New Roman" w:hAnsi="Times New Roman" w:cs="Times New Roman"/>
          <w:sz w:val="24"/>
          <w:szCs w:val="24"/>
        </w:rPr>
      </w:pPr>
    </w:p>
    <w:tbl>
      <w:tblPr>
        <w:tblStyle w:val="a8"/>
        <w:tblW w:w="3118" w:type="dxa"/>
        <w:tblInd w:w="2547" w:type="dxa"/>
        <w:tblBorders>
          <w:top w:val="single" w:sz="4" w:space="0" w:color="000000"/>
          <w:bottom w:val="single" w:sz="4" w:space="0" w:color="000000"/>
        </w:tblBorders>
        <w:tblLayout w:type="fixed"/>
        <w:tblLook w:val="0400" w:firstRow="0" w:lastRow="0" w:firstColumn="0" w:lastColumn="0" w:noHBand="0" w:noVBand="1"/>
      </w:tblPr>
      <w:tblGrid>
        <w:gridCol w:w="1924"/>
        <w:gridCol w:w="1194"/>
      </w:tblGrid>
      <w:tr w:rsidR="00F14898" w14:paraId="5EE57801" w14:textId="77777777">
        <w:trPr>
          <w:trHeight w:val="386"/>
        </w:trPr>
        <w:tc>
          <w:tcPr>
            <w:tcW w:w="3118" w:type="dxa"/>
            <w:gridSpan w:val="2"/>
            <w:tcBorders>
              <w:top w:val="single" w:sz="4" w:space="0" w:color="000000"/>
              <w:bottom w:val="single" w:sz="4" w:space="0" w:color="000000"/>
            </w:tcBorders>
          </w:tcPr>
          <w:p w14:paraId="78FB61D7"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Reliability Statistics </w:t>
            </w:r>
          </w:p>
        </w:tc>
      </w:tr>
      <w:tr w:rsidR="00F14898" w14:paraId="3D6CEF55" w14:textId="77777777">
        <w:trPr>
          <w:trHeight w:val="381"/>
        </w:trPr>
        <w:tc>
          <w:tcPr>
            <w:tcW w:w="1924" w:type="dxa"/>
            <w:tcBorders>
              <w:top w:val="single" w:sz="4" w:space="0" w:color="000000"/>
            </w:tcBorders>
          </w:tcPr>
          <w:p w14:paraId="2439A4CB"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Cronbach's Alpha</w:t>
            </w:r>
          </w:p>
        </w:tc>
        <w:tc>
          <w:tcPr>
            <w:tcW w:w="1194" w:type="dxa"/>
            <w:tcBorders>
              <w:top w:val="single" w:sz="4" w:space="0" w:color="000000"/>
            </w:tcBorders>
          </w:tcPr>
          <w:p w14:paraId="5273BED6"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 of Items</w:t>
            </w:r>
          </w:p>
        </w:tc>
      </w:tr>
      <w:tr w:rsidR="00F14898" w14:paraId="5CE7F56D" w14:textId="77777777">
        <w:trPr>
          <w:trHeight w:val="326"/>
        </w:trPr>
        <w:tc>
          <w:tcPr>
            <w:tcW w:w="1924" w:type="dxa"/>
          </w:tcPr>
          <w:p w14:paraId="172676AF"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0,786</w:t>
            </w:r>
          </w:p>
        </w:tc>
        <w:tc>
          <w:tcPr>
            <w:tcW w:w="1194" w:type="dxa"/>
          </w:tcPr>
          <w:p w14:paraId="39A3D325"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49BF3F46" w14:textId="77777777" w:rsidR="00F14898" w:rsidRDefault="0087135B">
      <w:pPr>
        <w:widowControl w:val="0"/>
        <w:spacing w:after="0" w:line="240" w:lineRule="auto"/>
        <w:ind w:left="18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Data dengan SPSS 25, 2023</w:t>
      </w:r>
    </w:p>
    <w:p w14:paraId="48EB30C1"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5E16B5EF"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Berdasarkan hasil dari Tabel 3, uji reliabilitas variabel kualitas pelayanan menunjukkan nilai Cronbach’s Alpha sebesar 0,786. Nilai ini lebih besar dari batas minimal reliabilitas yang ditetapkan sebesa</w:t>
      </w:r>
      <w:r>
        <w:rPr>
          <w:rFonts w:ascii="Times New Roman" w:eastAsia="Times New Roman" w:hAnsi="Times New Roman" w:cs="Times New Roman"/>
          <w:sz w:val="24"/>
          <w:szCs w:val="24"/>
        </w:rPr>
        <w:t xml:space="preserve">r 0,600. Penggunaan IBM SPSS 25 for Windows membantu peneliti dalam melakukan perhitungan uji reliabilitas ini. Dengan demikian, data dari kuesioner mengenai variabel kualitas pelayanan dapat dianggap sebagai alat ukur yang sah dalam penelitian ini. Hasil </w:t>
      </w:r>
      <w:r>
        <w:rPr>
          <w:rFonts w:ascii="Times New Roman" w:eastAsia="Times New Roman" w:hAnsi="Times New Roman" w:cs="Times New Roman"/>
          <w:sz w:val="24"/>
          <w:szCs w:val="24"/>
        </w:rPr>
        <w:t>ini menunjukkan bahwa variabel kualitas pelayanan memiliki tingkat reliabilitas yang signifikan dan dapat diandalkan, serta layak untuk digunakan sebagai contoh dalam penelitian selanjutnya.</w:t>
      </w:r>
    </w:p>
    <w:p w14:paraId="284E7D33"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6625E32B" w14:textId="77777777" w:rsidR="00F14898" w:rsidRDefault="0087135B">
      <w:pPr>
        <w:widowControl w:val="0"/>
        <w:spacing w:after="0" w:line="240" w:lineRule="auto"/>
        <w:jc w:val="center"/>
        <w:rPr>
          <w:rFonts w:ascii="Times New Roman" w:eastAsia="Times New Roman" w:hAnsi="Times New Roman" w:cs="Times New Roman"/>
          <w:b/>
          <w:i/>
          <w:sz w:val="24"/>
          <w:szCs w:val="24"/>
        </w:rPr>
      </w:pPr>
      <w:bookmarkStart w:id="6" w:name="_heading=h.3znysh7" w:colFirst="0" w:colLast="0"/>
      <w:bookmarkEnd w:id="6"/>
      <w:r>
        <w:rPr>
          <w:rFonts w:ascii="Times New Roman" w:eastAsia="Times New Roman" w:hAnsi="Times New Roman" w:cs="Times New Roman"/>
          <w:b/>
          <w:sz w:val="24"/>
          <w:szCs w:val="24"/>
        </w:rPr>
        <w:t xml:space="preserve">Tabel 4. Hasil Uji Reliabilitas Variabel Keputusan Pembelian </w:t>
      </w:r>
    </w:p>
    <w:p w14:paraId="5688DA10" w14:textId="77777777" w:rsidR="00F14898" w:rsidRDefault="00F14898">
      <w:pPr>
        <w:widowControl w:val="0"/>
        <w:spacing w:after="0" w:line="240" w:lineRule="auto"/>
        <w:jc w:val="both"/>
        <w:rPr>
          <w:rFonts w:ascii="Times New Roman" w:eastAsia="Times New Roman" w:hAnsi="Times New Roman" w:cs="Times New Roman"/>
          <w:sz w:val="24"/>
          <w:szCs w:val="24"/>
        </w:rPr>
      </w:pPr>
    </w:p>
    <w:tbl>
      <w:tblPr>
        <w:tblStyle w:val="a9"/>
        <w:tblW w:w="5474" w:type="dxa"/>
        <w:jc w:val="center"/>
        <w:tblBorders>
          <w:top w:val="single" w:sz="4" w:space="0" w:color="000000"/>
          <w:bottom w:val="single" w:sz="4" w:space="0" w:color="000000"/>
        </w:tblBorders>
        <w:tblLayout w:type="fixed"/>
        <w:tblLook w:val="0400" w:firstRow="0" w:lastRow="0" w:firstColumn="0" w:lastColumn="0" w:noHBand="0" w:noVBand="1"/>
      </w:tblPr>
      <w:tblGrid>
        <w:gridCol w:w="1555"/>
        <w:gridCol w:w="1799"/>
        <w:gridCol w:w="1054"/>
        <w:gridCol w:w="1066"/>
      </w:tblGrid>
      <w:tr w:rsidR="00F14898" w14:paraId="5374A515" w14:textId="77777777">
        <w:trPr>
          <w:trHeight w:val="286"/>
          <w:jc w:val="center"/>
        </w:trPr>
        <w:tc>
          <w:tcPr>
            <w:tcW w:w="5474" w:type="dxa"/>
            <w:gridSpan w:val="4"/>
            <w:tcBorders>
              <w:bottom w:val="single" w:sz="4" w:space="0" w:color="000000"/>
            </w:tcBorders>
          </w:tcPr>
          <w:p w14:paraId="5B2271CD"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ase Processing Summary </w:t>
            </w:r>
          </w:p>
        </w:tc>
      </w:tr>
      <w:tr w:rsidR="00F14898" w14:paraId="3F04566C" w14:textId="77777777">
        <w:trPr>
          <w:trHeight w:val="286"/>
          <w:jc w:val="center"/>
        </w:trPr>
        <w:tc>
          <w:tcPr>
            <w:tcW w:w="3354" w:type="dxa"/>
            <w:gridSpan w:val="2"/>
            <w:tcBorders>
              <w:top w:val="single" w:sz="4" w:space="0" w:color="000000"/>
              <w:bottom w:val="single" w:sz="4" w:space="0" w:color="000000"/>
            </w:tcBorders>
          </w:tcPr>
          <w:p w14:paraId="3CEDE7C7"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054" w:type="dxa"/>
            <w:tcBorders>
              <w:top w:val="single" w:sz="4" w:space="0" w:color="000000"/>
              <w:bottom w:val="single" w:sz="4" w:space="0" w:color="000000"/>
            </w:tcBorders>
          </w:tcPr>
          <w:p w14:paraId="0DE18C45"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66" w:type="dxa"/>
            <w:tcBorders>
              <w:top w:val="single" w:sz="4" w:space="0" w:color="000000"/>
              <w:bottom w:val="single" w:sz="4" w:space="0" w:color="000000"/>
            </w:tcBorders>
          </w:tcPr>
          <w:p w14:paraId="20CEF7C7"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F14898" w14:paraId="1A341F59" w14:textId="77777777">
        <w:trPr>
          <w:trHeight w:val="286"/>
          <w:jc w:val="center"/>
        </w:trPr>
        <w:tc>
          <w:tcPr>
            <w:tcW w:w="1555" w:type="dxa"/>
            <w:vMerge w:val="restart"/>
            <w:tcBorders>
              <w:top w:val="single" w:sz="4" w:space="0" w:color="000000"/>
              <w:bottom w:val="nil"/>
            </w:tcBorders>
          </w:tcPr>
          <w:p w14:paraId="247451DD"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Cases </w:t>
            </w:r>
          </w:p>
        </w:tc>
        <w:tc>
          <w:tcPr>
            <w:tcW w:w="1799" w:type="dxa"/>
            <w:tcBorders>
              <w:top w:val="single" w:sz="4" w:space="0" w:color="000000"/>
              <w:bottom w:val="nil"/>
            </w:tcBorders>
          </w:tcPr>
          <w:p w14:paraId="1D7562F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Valid </w:t>
            </w:r>
          </w:p>
        </w:tc>
        <w:tc>
          <w:tcPr>
            <w:tcW w:w="1054" w:type="dxa"/>
            <w:tcBorders>
              <w:top w:val="single" w:sz="4" w:space="0" w:color="000000"/>
              <w:bottom w:val="nil"/>
            </w:tcBorders>
          </w:tcPr>
          <w:p w14:paraId="3B61F20C"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66" w:type="dxa"/>
            <w:tcBorders>
              <w:top w:val="single" w:sz="4" w:space="0" w:color="000000"/>
              <w:bottom w:val="nil"/>
            </w:tcBorders>
          </w:tcPr>
          <w:p w14:paraId="378F942C"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14898" w14:paraId="47CC60EA" w14:textId="77777777">
        <w:trPr>
          <w:trHeight w:val="292"/>
          <w:jc w:val="center"/>
        </w:trPr>
        <w:tc>
          <w:tcPr>
            <w:tcW w:w="1555" w:type="dxa"/>
            <w:vMerge/>
            <w:tcBorders>
              <w:top w:val="single" w:sz="4" w:space="0" w:color="000000"/>
              <w:bottom w:val="nil"/>
            </w:tcBorders>
          </w:tcPr>
          <w:p w14:paraId="5CA3581F"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99" w:type="dxa"/>
            <w:tcBorders>
              <w:top w:val="nil"/>
              <w:bottom w:val="nil"/>
            </w:tcBorders>
          </w:tcPr>
          <w:p w14:paraId="01787F5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Excluded</w:t>
            </w:r>
            <w:r>
              <w:rPr>
                <w:rFonts w:ascii="Times New Roman" w:eastAsia="Times New Roman" w:hAnsi="Times New Roman" w:cs="Times New Roman"/>
                <w:sz w:val="24"/>
                <w:szCs w:val="24"/>
                <w:vertAlign w:val="superscript"/>
              </w:rPr>
              <w:t>a</w:t>
            </w:r>
            <w:r>
              <w:rPr>
                <w:rFonts w:ascii="Times New Roman" w:eastAsia="Times New Roman" w:hAnsi="Times New Roman" w:cs="Times New Roman"/>
                <w:sz w:val="24"/>
                <w:szCs w:val="24"/>
              </w:rPr>
              <w:t xml:space="preserve"> </w:t>
            </w:r>
          </w:p>
        </w:tc>
        <w:tc>
          <w:tcPr>
            <w:tcW w:w="1054" w:type="dxa"/>
            <w:tcBorders>
              <w:top w:val="nil"/>
              <w:bottom w:val="nil"/>
            </w:tcBorders>
          </w:tcPr>
          <w:p w14:paraId="06BA23E5"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66" w:type="dxa"/>
            <w:tcBorders>
              <w:top w:val="nil"/>
              <w:bottom w:val="nil"/>
            </w:tcBorders>
          </w:tcPr>
          <w:p w14:paraId="2DFFC243"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w:t>
            </w:r>
          </w:p>
        </w:tc>
      </w:tr>
      <w:tr w:rsidR="00F14898" w14:paraId="303A7FA6" w14:textId="77777777">
        <w:trPr>
          <w:trHeight w:val="286"/>
          <w:jc w:val="center"/>
        </w:trPr>
        <w:tc>
          <w:tcPr>
            <w:tcW w:w="1555" w:type="dxa"/>
            <w:vMerge/>
            <w:tcBorders>
              <w:top w:val="single" w:sz="4" w:space="0" w:color="000000"/>
              <w:bottom w:val="nil"/>
            </w:tcBorders>
          </w:tcPr>
          <w:p w14:paraId="06AEC7AB"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799" w:type="dxa"/>
            <w:tcBorders>
              <w:top w:val="nil"/>
              <w:bottom w:val="single" w:sz="4" w:space="0" w:color="000000"/>
            </w:tcBorders>
          </w:tcPr>
          <w:p w14:paraId="7A2E8E0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1054" w:type="dxa"/>
            <w:tcBorders>
              <w:top w:val="nil"/>
              <w:bottom w:val="single" w:sz="4" w:space="0" w:color="000000"/>
            </w:tcBorders>
          </w:tcPr>
          <w:p w14:paraId="670BE1D5"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066" w:type="dxa"/>
            <w:tcBorders>
              <w:top w:val="nil"/>
              <w:bottom w:val="single" w:sz="4" w:space="0" w:color="000000"/>
            </w:tcBorders>
          </w:tcPr>
          <w:p w14:paraId="4DE39E3E"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F14898" w14:paraId="5EFFB287" w14:textId="77777777">
        <w:trPr>
          <w:trHeight w:val="400"/>
          <w:jc w:val="center"/>
        </w:trPr>
        <w:tc>
          <w:tcPr>
            <w:tcW w:w="5474" w:type="dxa"/>
            <w:gridSpan w:val="4"/>
            <w:tcBorders>
              <w:top w:val="single" w:sz="4" w:space="0" w:color="000000"/>
            </w:tcBorders>
          </w:tcPr>
          <w:p w14:paraId="4F3FD5F3"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Listwise deletion based on all variables in the procedure. </w:t>
            </w:r>
          </w:p>
        </w:tc>
      </w:tr>
    </w:tbl>
    <w:p w14:paraId="1270CA6D" w14:textId="77777777" w:rsidR="00F14898" w:rsidRDefault="00F14898">
      <w:pPr>
        <w:widowControl w:val="0"/>
        <w:spacing w:after="0" w:line="240" w:lineRule="auto"/>
        <w:jc w:val="both"/>
        <w:rPr>
          <w:rFonts w:ascii="Times New Roman" w:eastAsia="Times New Roman" w:hAnsi="Times New Roman" w:cs="Times New Roman"/>
          <w:b/>
          <w:sz w:val="24"/>
          <w:szCs w:val="24"/>
        </w:rPr>
      </w:pPr>
    </w:p>
    <w:tbl>
      <w:tblPr>
        <w:tblStyle w:val="aa"/>
        <w:tblW w:w="3114" w:type="dxa"/>
        <w:jc w:val="center"/>
        <w:tblBorders>
          <w:top w:val="single" w:sz="4" w:space="0" w:color="000000"/>
          <w:bottom w:val="single" w:sz="4" w:space="0" w:color="000000"/>
        </w:tblBorders>
        <w:tblLayout w:type="fixed"/>
        <w:tblLook w:val="0400" w:firstRow="0" w:lastRow="0" w:firstColumn="0" w:lastColumn="0" w:noHBand="0" w:noVBand="1"/>
      </w:tblPr>
      <w:tblGrid>
        <w:gridCol w:w="1835"/>
        <w:gridCol w:w="1279"/>
      </w:tblGrid>
      <w:tr w:rsidR="00F14898" w14:paraId="3840F97B" w14:textId="77777777">
        <w:trPr>
          <w:trHeight w:val="286"/>
          <w:jc w:val="center"/>
        </w:trPr>
        <w:tc>
          <w:tcPr>
            <w:tcW w:w="3114" w:type="dxa"/>
            <w:gridSpan w:val="2"/>
            <w:tcBorders>
              <w:top w:val="single" w:sz="4" w:space="0" w:color="000000"/>
              <w:bottom w:val="single" w:sz="4" w:space="0" w:color="000000"/>
            </w:tcBorders>
          </w:tcPr>
          <w:p w14:paraId="0C1261DC"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Reliability Statistics</w:t>
            </w:r>
          </w:p>
        </w:tc>
      </w:tr>
      <w:tr w:rsidR="00F14898" w14:paraId="690AE3D2" w14:textId="77777777">
        <w:trPr>
          <w:trHeight w:val="358"/>
          <w:jc w:val="center"/>
        </w:trPr>
        <w:tc>
          <w:tcPr>
            <w:tcW w:w="1835" w:type="dxa"/>
            <w:tcBorders>
              <w:top w:val="single" w:sz="4" w:space="0" w:color="000000"/>
              <w:bottom w:val="single" w:sz="4" w:space="0" w:color="000000"/>
            </w:tcBorders>
          </w:tcPr>
          <w:p w14:paraId="2FAFC53E"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Cronbach's Alpha </w:t>
            </w:r>
          </w:p>
        </w:tc>
        <w:tc>
          <w:tcPr>
            <w:tcW w:w="1279" w:type="dxa"/>
            <w:tcBorders>
              <w:top w:val="single" w:sz="4" w:space="0" w:color="000000"/>
              <w:bottom w:val="single" w:sz="4" w:space="0" w:color="000000"/>
            </w:tcBorders>
          </w:tcPr>
          <w:p w14:paraId="052EA20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of Items</w:t>
            </w:r>
          </w:p>
        </w:tc>
      </w:tr>
      <w:tr w:rsidR="00F14898" w14:paraId="0A75BD6D" w14:textId="77777777">
        <w:trPr>
          <w:trHeight w:val="288"/>
          <w:jc w:val="center"/>
        </w:trPr>
        <w:tc>
          <w:tcPr>
            <w:tcW w:w="1835" w:type="dxa"/>
            <w:tcBorders>
              <w:top w:val="single" w:sz="4" w:space="0" w:color="000000"/>
            </w:tcBorders>
          </w:tcPr>
          <w:p w14:paraId="61D2E41A"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0,783 </w:t>
            </w:r>
          </w:p>
        </w:tc>
        <w:tc>
          <w:tcPr>
            <w:tcW w:w="1279" w:type="dxa"/>
            <w:tcBorders>
              <w:top w:val="single" w:sz="4" w:space="0" w:color="000000"/>
            </w:tcBorders>
          </w:tcPr>
          <w:p w14:paraId="72859A1A"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bl>
    <w:p w14:paraId="61F0BA50" w14:textId="77777777" w:rsidR="00F14898" w:rsidRDefault="0087135B">
      <w:pPr>
        <w:widowControl w:val="0"/>
        <w:spacing w:after="0" w:line="240" w:lineRule="auto"/>
        <w:ind w:left="1985"/>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Data dengan SPSS 25, 2023</w:t>
      </w:r>
    </w:p>
    <w:p w14:paraId="6B288659"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0CB6E4C5"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dari Tabel 4, uji reliabilitas variabel (Y) keputusan pembelian menunjukkan nilai Cronbach’s Alpha sebesar 0,783. Nilai ini melebihi batas minimal reliabilitas yang ditetapkan sebesar 0,</w:t>
      </w:r>
      <w:r>
        <w:rPr>
          <w:rFonts w:ascii="Times New Roman" w:eastAsia="Times New Roman" w:hAnsi="Times New Roman" w:cs="Times New Roman"/>
          <w:sz w:val="24"/>
          <w:szCs w:val="24"/>
        </w:rPr>
        <w:t>600. Penggunaan IBM SPSS 25 for Windows membantu peneliti dalam melakukan perhitungan uji reliabilitas ini. Dengan demikian, data dari kuesioner mengenai variabel keputusan pembelian (Y) dapat dianggap sebagai alat ukur yang sah dalam penelitian ini. Hasil</w:t>
      </w:r>
      <w:r>
        <w:rPr>
          <w:rFonts w:ascii="Times New Roman" w:eastAsia="Times New Roman" w:hAnsi="Times New Roman" w:cs="Times New Roman"/>
          <w:sz w:val="24"/>
          <w:szCs w:val="24"/>
        </w:rPr>
        <w:t xml:space="preserve"> ini menunjukkan bahwa variabel keputusan pembelian memiliki tingkat reliabilitas yang signifikan dan dapat diandalkan, serta layak untuk digunakan sebagai contoh dalam penelitian selanjutnya.</w:t>
      </w:r>
    </w:p>
    <w:p w14:paraId="5F730459"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5A7ABFAB" w14:textId="77777777" w:rsidR="00F14898" w:rsidRDefault="0087135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Korelasi</w:t>
      </w:r>
    </w:p>
    <w:p w14:paraId="3217EE32" w14:textId="77777777" w:rsidR="00F14898" w:rsidRDefault="0087135B">
      <w:pPr>
        <w:widowControl w:val="0"/>
        <w:spacing w:after="0" w:line="240" w:lineRule="auto"/>
        <w:jc w:val="center"/>
        <w:rPr>
          <w:rFonts w:ascii="Times New Roman" w:eastAsia="Times New Roman" w:hAnsi="Times New Roman" w:cs="Times New Roman"/>
          <w:b/>
          <w:sz w:val="24"/>
          <w:szCs w:val="24"/>
        </w:rPr>
      </w:pPr>
      <w:bookmarkStart w:id="7" w:name="_heading=h.2et92p0" w:colFirst="0" w:colLast="0"/>
      <w:bookmarkEnd w:id="7"/>
      <w:r>
        <w:rPr>
          <w:rFonts w:ascii="Times New Roman" w:eastAsia="Times New Roman" w:hAnsi="Times New Roman" w:cs="Times New Roman"/>
          <w:b/>
          <w:sz w:val="24"/>
          <w:szCs w:val="24"/>
        </w:rPr>
        <w:t xml:space="preserve">Tabel 5. Hasil Uji Korelasi </w:t>
      </w:r>
    </w:p>
    <w:tbl>
      <w:tblPr>
        <w:tblStyle w:val="ab"/>
        <w:tblW w:w="5387" w:type="dxa"/>
        <w:jc w:val="center"/>
        <w:tblLayout w:type="fixed"/>
        <w:tblLook w:val="0000" w:firstRow="0" w:lastRow="0" w:firstColumn="0" w:lastColumn="0" w:noHBand="0" w:noVBand="0"/>
      </w:tblPr>
      <w:tblGrid>
        <w:gridCol w:w="737"/>
        <w:gridCol w:w="1999"/>
        <w:gridCol w:w="1030"/>
        <w:gridCol w:w="1621"/>
      </w:tblGrid>
      <w:tr w:rsidR="00F14898" w14:paraId="057FCAE1" w14:textId="77777777">
        <w:trPr>
          <w:cantSplit/>
          <w:jc w:val="center"/>
        </w:trPr>
        <w:tc>
          <w:tcPr>
            <w:tcW w:w="5387" w:type="dxa"/>
            <w:gridSpan w:val="4"/>
            <w:tcBorders>
              <w:bottom w:val="single" w:sz="4" w:space="0" w:color="000000"/>
            </w:tcBorders>
            <w:shd w:val="clear" w:color="auto" w:fill="FFFFFF"/>
            <w:vAlign w:val="center"/>
          </w:tcPr>
          <w:p w14:paraId="5B19BD4B"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Correlations</w:t>
            </w:r>
          </w:p>
        </w:tc>
      </w:tr>
      <w:tr w:rsidR="00F14898" w14:paraId="5C221FCB" w14:textId="77777777">
        <w:trPr>
          <w:cantSplit/>
          <w:jc w:val="center"/>
        </w:trPr>
        <w:tc>
          <w:tcPr>
            <w:tcW w:w="2736" w:type="dxa"/>
            <w:gridSpan w:val="2"/>
            <w:tcBorders>
              <w:top w:val="single" w:sz="4" w:space="0" w:color="000000"/>
              <w:bottom w:val="single" w:sz="4" w:space="0" w:color="000000"/>
            </w:tcBorders>
            <w:shd w:val="clear" w:color="auto" w:fill="FFFFFF"/>
            <w:vAlign w:val="bottom"/>
          </w:tcPr>
          <w:p w14:paraId="1296CB0B" w14:textId="77777777" w:rsidR="00F14898" w:rsidRDefault="00F14898">
            <w:pPr>
              <w:widowControl w:val="0"/>
              <w:spacing w:after="0" w:line="240" w:lineRule="auto"/>
              <w:jc w:val="both"/>
              <w:rPr>
                <w:rFonts w:ascii="Times New Roman" w:eastAsia="Times New Roman" w:hAnsi="Times New Roman" w:cs="Times New Roman"/>
                <w:sz w:val="24"/>
                <w:szCs w:val="24"/>
              </w:rPr>
            </w:pPr>
          </w:p>
        </w:tc>
        <w:tc>
          <w:tcPr>
            <w:tcW w:w="1030" w:type="dxa"/>
            <w:tcBorders>
              <w:top w:val="single" w:sz="4" w:space="0" w:color="000000"/>
              <w:bottom w:val="single" w:sz="4" w:space="0" w:color="000000"/>
            </w:tcBorders>
            <w:shd w:val="clear" w:color="auto" w:fill="FFFFFF"/>
            <w:vAlign w:val="bottom"/>
          </w:tcPr>
          <w:p w14:paraId="3DF82C67"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621" w:type="dxa"/>
            <w:tcBorders>
              <w:top w:val="single" w:sz="4" w:space="0" w:color="000000"/>
              <w:bottom w:val="single" w:sz="4" w:space="0" w:color="000000"/>
            </w:tcBorders>
            <w:shd w:val="clear" w:color="auto" w:fill="FFFFFF"/>
            <w:vAlign w:val="bottom"/>
          </w:tcPr>
          <w:p w14:paraId="74CC493A"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r>
      <w:tr w:rsidR="00F14898" w14:paraId="21420B40" w14:textId="77777777">
        <w:trPr>
          <w:cantSplit/>
          <w:jc w:val="center"/>
        </w:trPr>
        <w:tc>
          <w:tcPr>
            <w:tcW w:w="737" w:type="dxa"/>
            <w:vMerge w:val="restart"/>
            <w:tcBorders>
              <w:top w:val="single" w:sz="4" w:space="0" w:color="000000"/>
            </w:tcBorders>
            <w:shd w:val="clear" w:color="auto" w:fill="auto"/>
            <w:vAlign w:val="center"/>
          </w:tcPr>
          <w:p w14:paraId="242A93FA"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999" w:type="dxa"/>
            <w:tcBorders>
              <w:top w:val="single" w:sz="4" w:space="0" w:color="000000"/>
            </w:tcBorders>
            <w:shd w:val="clear" w:color="auto" w:fill="auto"/>
          </w:tcPr>
          <w:p w14:paraId="107BA082"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030" w:type="dxa"/>
            <w:tcBorders>
              <w:top w:val="single" w:sz="4" w:space="0" w:color="000000"/>
            </w:tcBorders>
            <w:shd w:val="clear" w:color="auto" w:fill="FFFFFF"/>
          </w:tcPr>
          <w:p w14:paraId="71C96806"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21" w:type="dxa"/>
            <w:tcBorders>
              <w:top w:val="single" w:sz="4" w:space="0" w:color="000000"/>
            </w:tcBorders>
            <w:shd w:val="clear" w:color="auto" w:fill="FFFFFF"/>
          </w:tcPr>
          <w:p w14:paraId="56A8B559"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r>
              <w:rPr>
                <w:rFonts w:ascii="Times New Roman" w:eastAsia="Times New Roman" w:hAnsi="Times New Roman" w:cs="Times New Roman"/>
                <w:sz w:val="24"/>
                <w:szCs w:val="24"/>
                <w:vertAlign w:val="superscript"/>
              </w:rPr>
              <w:t>**</w:t>
            </w:r>
          </w:p>
        </w:tc>
      </w:tr>
      <w:tr w:rsidR="00F14898" w14:paraId="05B5E813" w14:textId="77777777">
        <w:trPr>
          <w:cantSplit/>
          <w:jc w:val="center"/>
        </w:trPr>
        <w:tc>
          <w:tcPr>
            <w:tcW w:w="737" w:type="dxa"/>
            <w:vMerge/>
            <w:tcBorders>
              <w:top w:val="single" w:sz="4" w:space="0" w:color="000000"/>
            </w:tcBorders>
            <w:shd w:val="clear" w:color="auto" w:fill="auto"/>
            <w:vAlign w:val="center"/>
          </w:tcPr>
          <w:p w14:paraId="7DB649A6"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shd w:val="clear" w:color="auto" w:fill="auto"/>
          </w:tcPr>
          <w:p w14:paraId="5534565F"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030" w:type="dxa"/>
            <w:shd w:val="clear" w:color="auto" w:fill="FFFFFF"/>
            <w:vAlign w:val="center"/>
          </w:tcPr>
          <w:p w14:paraId="53E25819" w14:textId="77777777" w:rsidR="00F14898" w:rsidRDefault="00F14898">
            <w:pPr>
              <w:widowControl w:val="0"/>
              <w:spacing w:after="0" w:line="240" w:lineRule="auto"/>
              <w:jc w:val="right"/>
              <w:rPr>
                <w:rFonts w:ascii="Times New Roman" w:eastAsia="Times New Roman" w:hAnsi="Times New Roman" w:cs="Times New Roman"/>
                <w:sz w:val="24"/>
                <w:szCs w:val="24"/>
              </w:rPr>
            </w:pPr>
          </w:p>
        </w:tc>
        <w:tc>
          <w:tcPr>
            <w:tcW w:w="1621" w:type="dxa"/>
            <w:shd w:val="clear" w:color="auto" w:fill="FFFFFF"/>
          </w:tcPr>
          <w:p w14:paraId="2D5A8BE7"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F14898" w14:paraId="5398A4F1" w14:textId="77777777">
        <w:trPr>
          <w:cantSplit/>
          <w:jc w:val="center"/>
        </w:trPr>
        <w:tc>
          <w:tcPr>
            <w:tcW w:w="737" w:type="dxa"/>
            <w:vMerge/>
            <w:tcBorders>
              <w:top w:val="single" w:sz="4" w:space="0" w:color="000000"/>
            </w:tcBorders>
            <w:shd w:val="clear" w:color="auto" w:fill="auto"/>
            <w:vAlign w:val="center"/>
          </w:tcPr>
          <w:p w14:paraId="2E94DB7F"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shd w:val="clear" w:color="auto" w:fill="auto"/>
          </w:tcPr>
          <w:p w14:paraId="1FB572A0"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30" w:type="dxa"/>
            <w:shd w:val="clear" w:color="auto" w:fill="FFFFFF"/>
          </w:tcPr>
          <w:p w14:paraId="0EFB35A6"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621" w:type="dxa"/>
            <w:shd w:val="clear" w:color="auto" w:fill="FFFFFF"/>
          </w:tcPr>
          <w:p w14:paraId="5645ECC2"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F14898" w14:paraId="1B626114" w14:textId="77777777">
        <w:trPr>
          <w:cantSplit/>
          <w:jc w:val="center"/>
        </w:trPr>
        <w:tc>
          <w:tcPr>
            <w:tcW w:w="737" w:type="dxa"/>
            <w:vMerge w:val="restart"/>
            <w:shd w:val="clear" w:color="auto" w:fill="auto"/>
            <w:vAlign w:val="center"/>
          </w:tcPr>
          <w:p w14:paraId="21FCA2EB"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1999" w:type="dxa"/>
            <w:shd w:val="clear" w:color="auto" w:fill="auto"/>
          </w:tcPr>
          <w:p w14:paraId="7402E46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w:t>
            </w:r>
          </w:p>
        </w:tc>
        <w:tc>
          <w:tcPr>
            <w:tcW w:w="1030" w:type="dxa"/>
            <w:shd w:val="clear" w:color="auto" w:fill="FFFFFF"/>
          </w:tcPr>
          <w:p w14:paraId="2E00B40F"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r>
              <w:rPr>
                <w:rFonts w:ascii="Times New Roman" w:eastAsia="Times New Roman" w:hAnsi="Times New Roman" w:cs="Times New Roman"/>
                <w:sz w:val="24"/>
                <w:szCs w:val="24"/>
                <w:vertAlign w:val="superscript"/>
              </w:rPr>
              <w:t>**</w:t>
            </w:r>
          </w:p>
        </w:tc>
        <w:tc>
          <w:tcPr>
            <w:tcW w:w="1621" w:type="dxa"/>
            <w:shd w:val="clear" w:color="auto" w:fill="FFFFFF"/>
          </w:tcPr>
          <w:p w14:paraId="6C08744B"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F14898" w14:paraId="096D00AE" w14:textId="77777777">
        <w:trPr>
          <w:cantSplit/>
          <w:jc w:val="center"/>
        </w:trPr>
        <w:tc>
          <w:tcPr>
            <w:tcW w:w="737" w:type="dxa"/>
            <w:vMerge/>
            <w:shd w:val="clear" w:color="auto" w:fill="auto"/>
            <w:vAlign w:val="center"/>
          </w:tcPr>
          <w:p w14:paraId="2832EB3F"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shd w:val="clear" w:color="auto" w:fill="auto"/>
          </w:tcPr>
          <w:p w14:paraId="4477A57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 (2-tailed)</w:t>
            </w:r>
          </w:p>
        </w:tc>
        <w:tc>
          <w:tcPr>
            <w:tcW w:w="1030" w:type="dxa"/>
            <w:shd w:val="clear" w:color="auto" w:fill="FFFFFF"/>
          </w:tcPr>
          <w:p w14:paraId="3D133D9D"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621" w:type="dxa"/>
            <w:shd w:val="clear" w:color="auto" w:fill="FFFFFF"/>
            <w:vAlign w:val="center"/>
          </w:tcPr>
          <w:p w14:paraId="262F8E26" w14:textId="77777777" w:rsidR="00F14898" w:rsidRDefault="00F14898">
            <w:pPr>
              <w:widowControl w:val="0"/>
              <w:spacing w:after="0" w:line="240" w:lineRule="auto"/>
              <w:jc w:val="right"/>
              <w:rPr>
                <w:rFonts w:ascii="Times New Roman" w:eastAsia="Times New Roman" w:hAnsi="Times New Roman" w:cs="Times New Roman"/>
                <w:sz w:val="24"/>
                <w:szCs w:val="24"/>
              </w:rPr>
            </w:pPr>
          </w:p>
        </w:tc>
      </w:tr>
      <w:tr w:rsidR="00F14898" w14:paraId="0F7C47EE" w14:textId="77777777">
        <w:trPr>
          <w:cantSplit/>
          <w:jc w:val="center"/>
        </w:trPr>
        <w:tc>
          <w:tcPr>
            <w:tcW w:w="737" w:type="dxa"/>
            <w:vMerge/>
            <w:shd w:val="clear" w:color="auto" w:fill="auto"/>
            <w:vAlign w:val="center"/>
          </w:tcPr>
          <w:p w14:paraId="35BFC185"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999" w:type="dxa"/>
            <w:tcBorders>
              <w:bottom w:val="single" w:sz="4" w:space="0" w:color="000000"/>
            </w:tcBorders>
            <w:shd w:val="clear" w:color="auto" w:fill="auto"/>
          </w:tcPr>
          <w:p w14:paraId="186FC88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p>
        </w:tc>
        <w:tc>
          <w:tcPr>
            <w:tcW w:w="1030" w:type="dxa"/>
            <w:tcBorders>
              <w:bottom w:val="single" w:sz="4" w:space="0" w:color="000000"/>
            </w:tcBorders>
            <w:shd w:val="clear" w:color="auto" w:fill="FFFFFF"/>
          </w:tcPr>
          <w:p w14:paraId="136CF29C"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621" w:type="dxa"/>
            <w:tcBorders>
              <w:bottom w:val="single" w:sz="4" w:space="0" w:color="000000"/>
            </w:tcBorders>
            <w:shd w:val="clear" w:color="auto" w:fill="FFFFFF"/>
          </w:tcPr>
          <w:p w14:paraId="55A3FF0C"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r>
      <w:tr w:rsidR="00F14898" w14:paraId="09D4A4C7" w14:textId="77777777">
        <w:trPr>
          <w:cantSplit/>
          <w:jc w:val="center"/>
        </w:trPr>
        <w:tc>
          <w:tcPr>
            <w:tcW w:w="5387" w:type="dxa"/>
            <w:gridSpan w:val="4"/>
            <w:tcBorders>
              <w:top w:val="single" w:sz="4" w:space="0" w:color="000000"/>
            </w:tcBorders>
            <w:shd w:val="clear" w:color="auto" w:fill="FFFFFF"/>
          </w:tcPr>
          <w:p w14:paraId="2DE01D66"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Correlation is significant at the 0.01 level (2-tailed).</w:t>
            </w:r>
          </w:p>
        </w:tc>
      </w:tr>
    </w:tbl>
    <w:p w14:paraId="3DC22E26" w14:textId="77777777" w:rsidR="00F14898" w:rsidRDefault="0087135B">
      <w:pPr>
        <w:widowControl w:val="0"/>
        <w:spacing w:after="0" w:line="240" w:lineRule="auto"/>
        <w:ind w:left="2268"/>
        <w:jc w:val="both"/>
        <w:rPr>
          <w:rFonts w:ascii="Times New Roman" w:eastAsia="Times New Roman" w:hAnsi="Times New Roman" w:cs="Times New Roman"/>
          <w:i/>
          <w:sz w:val="24"/>
          <w:szCs w:val="24"/>
        </w:rPr>
      </w:pPr>
      <w:bookmarkStart w:id="8" w:name="_heading=h.tyjcwt" w:colFirst="0" w:colLast="0"/>
      <w:bookmarkEnd w:id="8"/>
      <w:r>
        <w:rPr>
          <w:rFonts w:ascii="Times New Roman" w:eastAsia="Times New Roman" w:hAnsi="Times New Roman" w:cs="Times New Roman"/>
          <w:i/>
          <w:sz w:val="24"/>
          <w:szCs w:val="24"/>
        </w:rPr>
        <w:t>Sumber: Hasil Pengolahan SPSS 2023</w:t>
      </w:r>
    </w:p>
    <w:p w14:paraId="5D71490F"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5E0CBBCF"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dari Tabel 5, uji korelasi menunjukkan adanya nilai koefisien positif sebesar 0,728 antara variabel (X) kualitas pelayanan dan variabel (Y) keputusan pembelian. Nilai koefisien ini menunjukkan bahwa hub</w:t>
      </w:r>
      <w:r>
        <w:rPr>
          <w:rFonts w:ascii="Times New Roman" w:eastAsia="Times New Roman" w:hAnsi="Times New Roman" w:cs="Times New Roman"/>
          <w:sz w:val="24"/>
          <w:szCs w:val="24"/>
        </w:rPr>
        <w:t xml:space="preserve">ungan antara kualitas pelayanan dan keputusan pembelian di Indomaret Ahmad Yani Garut dapat dikategorikan sebagai "kuat", karena berada dalam rentang koefisien 0,60-0,799. Artinya, semakin tinggi kualitas pelayanan yang diberikan oleh Indomaret Ahmad Yani </w:t>
      </w:r>
      <w:r>
        <w:rPr>
          <w:rFonts w:ascii="Times New Roman" w:eastAsia="Times New Roman" w:hAnsi="Times New Roman" w:cs="Times New Roman"/>
          <w:sz w:val="24"/>
          <w:szCs w:val="24"/>
        </w:rPr>
        <w:t>Garut, semakin kuat pula pengaruhnya terhadap keputusan pembelian konsumen di toko tersebut. Hasil ini mengindikasikan bahwa konsumen cenderung lebih condong untuk melakukan pembelian ketika mereka merasa puas dengan kualitas pelayanan yang diterima. Denga</w:t>
      </w:r>
      <w:r>
        <w:rPr>
          <w:rFonts w:ascii="Times New Roman" w:eastAsia="Times New Roman" w:hAnsi="Times New Roman" w:cs="Times New Roman"/>
          <w:sz w:val="24"/>
          <w:szCs w:val="24"/>
        </w:rPr>
        <w:t>n demikian, kualitas pelayanan di Indomaret Ahmad Yani Garut memiliki peran yang signifikan dalam mempengaruhi perilaku pembelian konsumen, yang penting untuk dipertahankan dan ditingkatkan dalam era modernisasi ritel saat ini.</w:t>
      </w:r>
    </w:p>
    <w:p w14:paraId="298DDB9A"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422E6FE6" w14:textId="77777777" w:rsidR="00F14898" w:rsidRDefault="0087135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Koefisien Determinasi</w:t>
      </w:r>
    </w:p>
    <w:p w14:paraId="0A8792F0"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0E1CC680" w14:textId="77777777" w:rsidR="00F14898" w:rsidRDefault="0087135B">
      <w:pPr>
        <w:widowControl w:val="0"/>
        <w:spacing w:after="0" w:line="240" w:lineRule="auto"/>
        <w:jc w:val="center"/>
        <w:rPr>
          <w:rFonts w:ascii="Times New Roman" w:eastAsia="Times New Roman" w:hAnsi="Times New Roman" w:cs="Times New Roman"/>
          <w:b/>
          <w:sz w:val="24"/>
          <w:szCs w:val="24"/>
        </w:rPr>
      </w:pPr>
      <w:bookmarkStart w:id="9" w:name="_heading=h.3dy6vkm" w:colFirst="0" w:colLast="0"/>
      <w:bookmarkEnd w:id="9"/>
      <w:r>
        <w:rPr>
          <w:rFonts w:ascii="Times New Roman" w:eastAsia="Times New Roman" w:hAnsi="Times New Roman" w:cs="Times New Roman"/>
          <w:b/>
          <w:sz w:val="24"/>
          <w:szCs w:val="24"/>
        </w:rPr>
        <w:t>Tabel 6. Hasil Uji Koefisien Determinasi</w:t>
      </w:r>
    </w:p>
    <w:p w14:paraId="00F7D0A7" w14:textId="77777777" w:rsidR="00F14898" w:rsidRDefault="00F14898">
      <w:pPr>
        <w:widowControl w:val="0"/>
        <w:spacing w:after="0" w:line="240" w:lineRule="auto"/>
        <w:jc w:val="both"/>
        <w:rPr>
          <w:rFonts w:ascii="Times New Roman" w:eastAsia="Times New Roman" w:hAnsi="Times New Roman" w:cs="Times New Roman"/>
          <w:sz w:val="24"/>
          <w:szCs w:val="24"/>
        </w:rPr>
      </w:pPr>
    </w:p>
    <w:tbl>
      <w:tblPr>
        <w:tblStyle w:val="ac"/>
        <w:tblW w:w="5872" w:type="dxa"/>
        <w:jc w:val="center"/>
        <w:tblLayout w:type="fixed"/>
        <w:tblLook w:val="0000" w:firstRow="0" w:lastRow="0" w:firstColumn="0" w:lastColumn="0" w:noHBand="0" w:noVBand="0"/>
      </w:tblPr>
      <w:tblGrid>
        <w:gridCol w:w="798"/>
        <w:gridCol w:w="1030"/>
        <w:gridCol w:w="1092"/>
        <w:gridCol w:w="1476"/>
        <w:gridCol w:w="1476"/>
      </w:tblGrid>
      <w:tr w:rsidR="00F14898" w14:paraId="7AF2232D" w14:textId="77777777">
        <w:trPr>
          <w:cantSplit/>
          <w:jc w:val="center"/>
        </w:trPr>
        <w:tc>
          <w:tcPr>
            <w:tcW w:w="5872" w:type="dxa"/>
            <w:gridSpan w:val="5"/>
            <w:tcBorders>
              <w:bottom w:val="single" w:sz="4" w:space="0" w:color="000000"/>
            </w:tcBorders>
            <w:shd w:val="clear" w:color="auto" w:fill="auto"/>
            <w:vAlign w:val="center"/>
          </w:tcPr>
          <w:p w14:paraId="3E0C5A5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Model Summary</w:t>
            </w:r>
          </w:p>
        </w:tc>
      </w:tr>
      <w:tr w:rsidR="00F14898" w14:paraId="62ED4041" w14:textId="77777777">
        <w:trPr>
          <w:cantSplit/>
          <w:jc w:val="center"/>
        </w:trPr>
        <w:tc>
          <w:tcPr>
            <w:tcW w:w="798" w:type="dxa"/>
            <w:tcBorders>
              <w:top w:val="single" w:sz="4" w:space="0" w:color="000000"/>
              <w:bottom w:val="single" w:sz="4" w:space="0" w:color="000000"/>
            </w:tcBorders>
            <w:shd w:val="clear" w:color="auto" w:fill="auto"/>
            <w:vAlign w:val="center"/>
          </w:tcPr>
          <w:p w14:paraId="363C78C6"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1030" w:type="dxa"/>
            <w:tcBorders>
              <w:top w:val="single" w:sz="4" w:space="0" w:color="000000"/>
              <w:bottom w:val="single" w:sz="4" w:space="0" w:color="000000"/>
            </w:tcBorders>
            <w:shd w:val="clear" w:color="auto" w:fill="auto"/>
            <w:vAlign w:val="center"/>
          </w:tcPr>
          <w:p w14:paraId="48F20E7C"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092" w:type="dxa"/>
            <w:tcBorders>
              <w:top w:val="single" w:sz="4" w:space="0" w:color="000000"/>
              <w:bottom w:val="single" w:sz="4" w:space="0" w:color="000000"/>
            </w:tcBorders>
            <w:shd w:val="clear" w:color="auto" w:fill="auto"/>
            <w:vAlign w:val="center"/>
          </w:tcPr>
          <w:p w14:paraId="09227AA0"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 Square</w:t>
            </w:r>
          </w:p>
        </w:tc>
        <w:tc>
          <w:tcPr>
            <w:tcW w:w="1476" w:type="dxa"/>
            <w:tcBorders>
              <w:top w:val="single" w:sz="4" w:space="0" w:color="000000"/>
              <w:bottom w:val="single" w:sz="4" w:space="0" w:color="000000"/>
            </w:tcBorders>
            <w:shd w:val="clear" w:color="auto" w:fill="auto"/>
            <w:vAlign w:val="center"/>
          </w:tcPr>
          <w:p w14:paraId="0AC6FBDC"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Adjusted R Square</w:t>
            </w:r>
          </w:p>
        </w:tc>
        <w:tc>
          <w:tcPr>
            <w:tcW w:w="1476" w:type="dxa"/>
            <w:tcBorders>
              <w:top w:val="single" w:sz="4" w:space="0" w:color="000000"/>
              <w:bottom w:val="single" w:sz="4" w:space="0" w:color="000000"/>
            </w:tcBorders>
            <w:shd w:val="clear" w:color="auto" w:fill="auto"/>
            <w:vAlign w:val="center"/>
          </w:tcPr>
          <w:p w14:paraId="0EB8CF16"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 of the Estimate</w:t>
            </w:r>
          </w:p>
        </w:tc>
      </w:tr>
      <w:tr w:rsidR="00F14898" w14:paraId="5D409262" w14:textId="77777777">
        <w:trPr>
          <w:cantSplit/>
          <w:jc w:val="center"/>
        </w:trPr>
        <w:tc>
          <w:tcPr>
            <w:tcW w:w="798" w:type="dxa"/>
            <w:tcBorders>
              <w:top w:val="single" w:sz="4" w:space="0" w:color="000000"/>
              <w:bottom w:val="single" w:sz="4" w:space="0" w:color="000000"/>
            </w:tcBorders>
            <w:shd w:val="clear" w:color="auto" w:fill="auto"/>
          </w:tcPr>
          <w:p w14:paraId="42C6DF78"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30" w:type="dxa"/>
            <w:tcBorders>
              <w:top w:val="single" w:sz="4" w:space="0" w:color="000000"/>
              <w:bottom w:val="single" w:sz="4" w:space="0" w:color="000000"/>
            </w:tcBorders>
            <w:shd w:val="clear" w:color="auto" w:fill="auto"/>
            <w:vAlign w:val="center"/>
          </w:tcPr>
          <w:p w14:paraId="6277E0F9"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r>
              <w:rPr>
                <w:rFonts w:ascii="Times New Roman" w:eastAsia="Times New Roman" w:hAnsi="Times New Roman" w:cs="Times New Roman"/>
                <w:sz w:val="24"/>
                <w:szCs w:val="24"/>
                <w:vertAlign w:val="superscript"/>
              </w:rPr>
              <w:t>a</w:t>
            </w:r>
          </w:p>
        </w:tc>
        <w:tc>
          <w:tcPr>
            <w:tcW w:w="1092" w:type="dxa"/>
            <w:tcBorders>
              <w:top w:val="single" w:sz="4" w:space="0" w:color="000000"/>
              <w:bottom w:val="single" w:sz="4" w:space="0" w:color="000000"/>
            </w:tcBorders>
            <w:shd w:val="clear" w:color="auto" w:fill="auto"/>
            <w:vAlign w:val="center"/>
          </w:tcPr>
          <w:p w14:paraId="2BFE9D41"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,530</w:t>
            </w:r>
          </w:p>
        </w:tc>
        <w:tc>
          <w:tcPr>
            <w:tcW w:w="1476" w:type="dxa"/>
            <w:tcBorders>
              <w:top w:val="single" w:sz="4" w:space="0" w:color="000000"/>
              <w:bottom w:val="single" w:sz="4" w:space="0" w:color="000000"/>
            </w:tcBorders>
            <w:shd w:val="clear" w:color="auto" w:fill="auto"/>
            <w:vAlign w:val="center"/>
          </w:tcPr>
          <w:p w14:paraId="61E3968F"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,525</w:t>
            </w:r>
          </w:p>
        </w:tc>
        <w:tc>
          <w:tcPr>
            <w:tcW w:w="1476" w:type="dxa"/>
            <w:tcBorders>
              <w:top w:val="single" w:sz="4" w:space="0" w:color="000000"/>
              <w:bottom w:val="single" w:sz="4" w:space="0" w:color="000000"/>
            </w:tcBorders>
            <w:shd w:val="clear" w:color="auto" w:fill="auto"/>
            <w:vAlign w:val="center"/>
          </w:tcPr>
          <w:p w14:paraId="7313E4E1"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4,622</w:t>
            </w:r>
          </w:p>
        </w:tc>
      </w:tr>
      <w:tr w:rsidR="00F14898" w14:paraId="5E4CCC90" w14:textId="77777777">
        <w:trPr>
          <w:cantSplit/>
          <w:jc w:val="center"/>
        </w:trPr>
        <w:tc>
          <w:tcPr>
            <w:tcW w:w="5872" w:type="dxa"/>
            <w:gridSpan w:val="5"/>
            <w:tcBorders>
              <w:top w:val="single" w:sz="4" w:space="0" w:color="000000"/>
            </w:tcBorders>
            <w:shd w:val="clear" w:color="auto" w:fill="auto"/>
          </w:tcPr>
          <w:p w14:paraId="113CA32E"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Predictors: (Constant), X</w:t>
            </w:r>
          </w:p>
        </w:tc>
      </w:tr>
    </w:tbl>
    <w:p w14:paraId="43509AA3" w14:textId="77777777" w:rsidR="00F14898" w:rsidRDefault="0087135B">
      <w:pPr>
        <w:widowControl w:val="0"/>
        <w:spacing w:after="0" w:line="240" w:lineRule="auto"/>
        <w:ind w:left="1701"/>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SPSS 2023</w:t>
      </w:r>
    </w:p>
    <w:p w14:paraId="06492F64" w14:textId="77777777" w:rsidR="00F14898" w:rsidRDefault="00F14898">
      <w:pPr>
        <w:widowControl w:val="0"/>
        <w:spacing w:after="0" w:line="240" w:lineRule="auto"/>
        <w:jc w:val="both"/>
        <w:rPr>
          <w:rFonts w:ascii="Times New Roman" w:eastAsia="Times New Roman" w:hAnsi="Times New Roman" w:cs="Times New Roman"/>
          <w:i/>
          <w:sz w:val="24"/>
          <w:szCs w:val="24"/>
        </w:rPr>
      </w:pPr>
    </w:p>
    <w:p w14:paraId="40ABD071" w14:textId="77777777" w:rsidR="00F14898" w:rsidRDefault="0087135B">
      <w:pPr>
        <w:widowControl w:val="0"/>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KD = r2 X 100%</w:t>
      </w:r>
    </w:p>
    <w:p w14:paraId="1A6852F9" w14:textId="77777777" w:rsidR="00F14898" w:rsidRDefault="0087135B">
      <w:pPr>
        <w:widowControl w:val="0"/>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KD = 0,728</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X 100%</w:t>
      </w:r>
    </w:p>
    <w:p w14:paraId="2F43DEB8" w14:textId="77777777" w:rsidR="00F14898" w:rsidRDefault="0087135B">
      <w:pPr>
        <w:widowControl w:val="0"/>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KD = 0,530 X 100% </w:t>
      </w:r>
    </w:p>
    <w:p w14:paraId="59C3FE87" w14:textId="77777777" w:rsidR="00F14898" w:rsidRDefault="0087135B">
      <w:pPr>
        <w:widowControl w:val="0"/>
        <w:spacing w:after="0" w:line="240" w:lineRule="auto"/>
        <w:ind w:left="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KD = 53%</w:t>
      </w:r>
    </w:p>
    <w:p w14:paraId="4F085809"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0E2626B1"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dari Tabel 6, perhitungan koefisien determinasi menunjukkan bahwa kualitas pelayanan (variabel X) memberikan kontribusi sebesar 53% terhadap keputusan pembelian (variabel Y). Sisanya, sebesar 47% dipengaruhi o</w:t>
      </w:r>
      <w:r>
        <w:rPr>
          <w:rFonts w:ascii="Times New Roman" w:eastAsia="Times New Roman" w:hAnsi="Times New Roman" w:cs="Times New Roman"/>
          <w:sz w:val="24"/>
          <w:szCs w:val="24"/>
        </w:rPr>
        <w:t>leh faktor-faktor lain yang tidak diteliti dalam penelitian ini, seperti harga produk, fasilitas toko, kualitas produk, dan faktor lainnya.</w:t>
      </w:r>
    </w:p>
    <w:p w14:paraId="68A70A79"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Interpretasi ini mengindikasikan bahwa kualitas pelayanan yang diberikan oleh Indomaret Ahmad Yani Garut memiliki pe</w:t>
      </w:r>
      <w:r>
        <w:rPr>
          <w:rFonts w:ascii="Times New Roman" w:eastAsia="Times New Roman" w:hAnsi="Times New Roman" w:cs="Times New Roman"/>
          <w:sz w:val="24"/>
          <w:szCs w:val="24"/>
        </w:rPr>
        <w:t>ngaruh yang signifikan terhadap keputusan pembelian konsumen. Meskipun faktor-faktor lain juga turut mempengaruhi keputusan pembelian, kualitas pelayanan memainkan peran dominan dengan kontribusi yang cukup besar. Oleh karena itu, untuk meningkatkan keputu</w:t>
      </w:r>
      <w:r>
        <w:rPr>
          <w:rFonts w:ascii="Times New Roman" w:eastAsia="Times New Roman" w:hAnsi="Times New Roman" w:cs="Times New Roman"/>
          <w:sz w:val="24"/>
          <w:szCs w:val="24"/>
        </w:rPr>
        <w:t>san pembelian dan mempertahankan loyalitas konsumen, perhatian terhadap peningkatan kualitas pelayanan menjadi krusial bagi Indomaret Ahmad Yani Garut dalam konteks modernisasi industri ritel saat ini.</w:t>
      </w:r>
    </w:p>
    <w:p w14:paraId="6B49AA4F"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04177730"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134421DD"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37D3E251"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569E1EC2"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0B0ED072" w14:textId="77777777" w:rsidR="00F14898" w:rsidRDefault="00F14898">
      <w:pPr>
        <w:widowControl w:val="0"/>
        <w:spacing w:after="0" w:line="240" w:lineRule="auto"/>
        <w:jc w:val="both"/>
        <w:rPr>
          <w:rFonts w:ascii="Times New Roman" w:eastAsia="Times New Roman" w:hAnsi="Times New Roman" w:cs="Times New Roman"/>
          <w:b/>
          <w:sz w:val="24"/>
          <w:szCs w:val="24"/>
        </w:rPr>
      </w:pPr>
    </w:p>
    <w:p w14:paraId="525F6254" w14:textId="77777777" w:rsidR="00F14898" w:rsidRDefault="0087135B">
      <w:pPr>
        <w:widowControl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Uji Hipotesis</w:t>
      </w:r>
    </w:p>
    <w:p w14:paraId="304C2435" w14:textId="77777777" w:rsidR="00F14898" w:rsidRDefault="0087135B">
      <w:pPr>
        <w:widowControl w:val="0"/>
        <w:spacing w:after="0" w:line="240" w:lineRule="auto"/>
        <w:jc w:val="center"/>
        <w:rPr>
          <w:rFonts w:ascii="Times New Roman" w:eastAsia="Times New Roman" w:hAnsi="Times New Roman" w:cs="Times New Roman"/>
          <w:b/>
          <w:sz w:val="24"/>
          <w:szCs w:val="24"/>
        </w:rPr>
      </w:pPr>
      <w:bookmarkStart w:id="10" w:name="_heading=h.1t3h5sf" w:colFirst="0" w:colLast="0"/>
      <w:bookmarkEnd w:id="10"/>
      <w:r>
        <w:rPr>
          <w:rFonts w:ascii="Times New Roman" w:eastAsia="Times New Roman" w:hAnsi="Times New Roman" w:cs="Times New Roman"/>
          <w:b/>
          <w:sz w:val="24"/>
          <w:szCs w:val="24"/>
        </w:rPr>
        <w:t>Tabel 7. Hasil Perhitungan Uji Hipotesis</w:t>
      </w:r>
    </w:p>
    <w:p w14:paraId="7415CA1C" w14:textId="77777777" w:rsidR="00F14898" w:rsidRDefault="00F14898">
      <w:pPr>
        <w:widowControl w:val="0"/>
        <w:spacing w:after="0" w:line="240" w:lineRule="auto"/>
        <w:jc w:val="both"/>
        <w:rPr>
          <w:rFonts w:ascii="Times New Roman" w:eastAsia="Times New Roman" w:hAnsi="Times New Roman" w:cs="Times New Roman"/>
          <w:sz w:val="24"/>
          <w:szCs w:val="24"/>
        </w:rPr>
      </w:pPr>
    </w:p>
    <w:tbl>
      <w:tblPr>
        <w:tblStyle w:val="ad"/>
        <w:tblW w:w="8132" w:type="dxa"/>
        <w:jc w:val="center"/>
        <w:tblLayout w:type="fixed"/>
        <w:tblLook w:val="0000" w:firstRow="0" w:lastRow="0" w:firstColumn="0" w:lastColumn="0" w:noHBand="0" w:noVBand="0"/>
      </w:tblPr>
      <w:tblGrid>
        <w:gridCol w:w="736"/>
        <w:gridCol w:w="1184"/>
        <w:gridCol w:w="1338"/>
        <w:gridCol w:w="1338"/>
        <w:gridCol w:w="1476"/>
        <w:gridCol w:w="1030"/>
        <w:gridCol w:w="1030"/>
      </w:tblGrid>
      <w:tr w:rsidR="00F14898" w14:paraId="6E999D7B" w14:textId="77777777">
        <w:trPr>
          <w:cantSplit/>
          <w:jc w:val="center"/>
        </w:trPr>
        <w:tc>
          <w:tcPr>
            <w:tcW w:w="8132" w:type="dxa"/>
            <w:gridSpan w:val="7"/>
            <w:tcBorders>
              <w:bottom w:val="single" w:sz="4" w:space="0" w:color="000000"/>
            </w:tcBorders>
            <w:shd w:val="clear" w:color="auto" w:fill="auto"/>
            <w:vAlign w:val="center"/>
          </w:tcPr>
          <w:p w14:paraId="02F7919B"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Coefficients</w:t>
            </w:r>
            <w:r>
              <w:rPr>
                <w:rFonts w:ascii="Times New Roman" w:eastAsia="Times New Roman" w:hAnsi="Times New Roman" w:cs="Times New Roman"/>
                <w:b/>
                <w:sz w:val="24"/>
                <w:szCs w:val="24"/>
                <w:vertAlign w:val="superscript"/>
              </w:rPr>
              <w:t>a</w:t>
            </w:r>
          </w:p>
        </w:tc>
      </w:tr>
      <w:tr w:rsidR="00F14898" w14:paraId="257478F5" w14:textId="77777777">
        <w:trPr>
          <w:cantSplit/>
          <w:jc w:val="center"/>
        </w:trPr>
        <w:tc>
          <w:tcPr>
            <w:tcW w:w="1920" w:type="dxa"/>
            <w:gridSpan w:val="2"/>
            <w:vMerge w:val="restart"/>
            <w:tcBorders>
              <w:top w:val="single" w:sz="4" w:space="0" w:color="000000"/>
            </w:tcBorders>
            <w:shd w:val="clear" w:color="auto" w:fill="auto"/>
            <w:vAlign w:val="center"/>
          </w:tcPr>
          <w:p w14:paraId="163B5E0A"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Model</w:t>
            </w:r>
          </w:p>
        </w:tc>
        <w:tc>
          <w:tcPr>
            <w:tcW w:w="2676" w:type="dxa"/>
            <w:gridSpan w:val="2"/>
            <w:tcBorders>
              <w:top w:val="single" w:sz="4" w:space="0" w:color="000000"/>
            </w:tcBorders>
            <w:shd w:val="clear" w:color="auto" w:fill="auto"/>
            <w:vAlign w:val="bottom"/>
          </w:tcPr>
          <w:p w14:paraId="7E9374D4"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Unstandardized Coefficients</w:t>
            </w:r>
          </w:p>
        </w:tc>
        <w:tc>
          <w:tcPr>
            <w:tcW w:w="1476" w:type="dxa"/>
            <w:tcBorders>
              <w:top w:val="single" w:sz="4" w:space="0" w:color="000000"/>
            </w:tcBorders>
            <w:shd w:val="clear" w:color="auto" w:fill="auto"/>
            <w:vAlign w:val="bottom"/>
          </w:tcPr>
          <w:p w14:paraId="79F5E8FD"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Standardized Coefficients</w:t>
            </w:r>
          </w:p>
        </w:tc>
        <w:tc>
          <w:tcPr>
            <w:tcW w:w="1030" w:type="dxa"/>
            <w:vMerge w:val="restart"/>
            <w:tcBorders>
              <w:top w:val="single" w:sz="4" w:space="0" w:color="000000"/>
            </w:tcBorders>
            <w:shd w:val="clear" w:color="auto" w:fill="auto"/>
            <w:vAlign w:val="center"/>
          </w:tcPr>
          <w:p w14:paraId="69F83B67"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w:t>
            </w:r>
          </w:p>
        </w:tc>
        <w:tc>
          <w:tcPr>
            <w:tcW w:w="1030" w:type="dxa"/>
            <w:vMerge w:val="restart"/>
            <w:tcBorders>
              <w:top w:val="single" w:sz="4" w:space="0" w:color="000000"/>
            </w:tcBorders>
            <w:shd w:val="clear" w:color="auto" w:fill="auto"/>
            <w:vAlign w:val="center"/>
          </w:tcPr>
          <w:p w14:paraId="730BC43E"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w:t>
            </w:r>
          </w:p>
        </w:tc>
      </w:tr>
      <w:tr w:rsidR="00F14898" w14:paraId="62489CD3" w14:textId="77777777">
        <w:trPr>
          <w:cantSplit/>
          <w:jc w:val="center"/>
        </w:trPr>
        <w:tc>
          <w:tcPr>
            <w:tcW w:w="1920" w:type="dxa"/>
            <w:gridSpan w:val="2"/>
            <w:vMerge/>
            <w:tcBorders>
              <w:top w:val="single" w:sz="4" w:space="0" w:color="000000"/>
            </w:tcBorders>
            <w:shd w:val="clear" w:color="auto" w:fill="auto"/>
            <w:vAlign w:val="center"/>
          </w:tcPr>
          <w:p w14:paraId="0051215B"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338" w:type="dxa"/>
            <w:tcBorders>
              <w:bottom w:val="single" w:sz="4" w:space="0" w:color="000000"/>
            </w:tcBorders>
            <w:shd w:val="clear" w:color="auto" w:fill="auto"/>
            <w:vAlign w:val="bottom"/>
          </w:tcPr>
          <w:p w14:paraId="43794513"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338" w:type="dxa"/>
            <w:tcBorders>
              <w:bottom w:val="single" w:sz="4" w:space="0" w:color="000000"/>
            </w:tcBorders>
            <w:shd w:val="clear" w:color="auto" w:fill="auto"/>
            <w:vAlign w:val="bottom"/>
          </w:tcPr>
          <w:p w14:paraId="1E5BB968"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Std. Error</w:t>
            </w:r>
          </w:p>
        </w:tc>
        <w:tc>
          <w:tcPr>
            <w:tcW w:w="1476" w:type="dxa"/>
            <w:tcBorders>
              <w:bottom w:val="single" w:sz="4" w:space="0" w:color="000000"/>
            </w:tcBorders>
            <w:shd w:val="clear" w:color="auto" w:fill="auto"/>
            <w:vAlign w:val="bottom"/>
          </w:tcPr>
          <w:p w14:paraId="3FE481EE"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Beta</w:t>
            </w:r>
          </w:p>
        </w:tc>
        <w:tc>
          <w:tcPr>
            <w:tcW w:w="1030" w:type="dxa"/>
            <w:vMerge/>
            <w:tcBorders>
              <w:top w:val="single" w:sz="4" w:space="0" w:color="000000"/>
            </w:tcBorders>
            <w:shd w:val="clear" w:color="auto" w:fill="auto"/>
            <w:vAlign w:val="center"/>
          </w:tcPr>
          <w:p w14:paraId="3C595550"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30" w:type="dxa"/>
            <w:vMerge/>
            <w:tcBorders>
              <w:top w:val="single" w:sz="4" w:space="0" w:color="000000"/>
            </w:tcBorders>
            <w:shd w:val="clear" w:color="auto" w:fill="auto"/>
            <w:vAlign w:val="center"/>
          </w:tcPr>
          <w:p w14:paraId="4A2AAD56"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F14898" w14:paraId="454B894E" w14:textId="77777777">
        <w:trPr>
          <w:cantSplit/>
          <w:jc w:val="center"/>
        </w:trPr>
        <w:tc>
          <w:tcPr>
            <w:tcW w:w="736" w:type="dxa"/>
            <w:vMerge w:val="restart"/>
            <w:tcBorders>
              <w:top w:val="single" w:sz="4" w:space="0" w:color="000000"/>
            </w:tcBorders>
            <w:shd w:val="clear" w:color="auto" w:fill="auto"/>
            <w:vAlign w:val="center"/>
          </w:tcPr>
          <w:p w14:paraId="16B529AA"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tcBorders>
              <w:top w:val="single" w:sz="4" w:space="0" w:color="000000"/>
            </w:tcBorders>
            <w:shd w:val="clear" w:color="auto" w:fill="auto"/>
            <w:vAlign w:val="center"/>
          </w:tcPr>
          <w:p w14:paraId="3F0C1E86"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(Constant)</w:t>
            </w:r>
          </w:p>
        </w:tc>
        <w:tc>
          <w:tcPr>
            <w:tcW w:w="1338" w:type="dxa"/>
            <w:tcBorders>
              <w:top w:val="single" w:sz="4" w:space="0" w:color="000000"/>
            </w:tcBorders>
            <w:shd w:val="clear" w:color="auto" w:fill="auto"/>
            <w:vAlign w:val="center"/>
          </w:tcPr>
          <w:p w14:paraId="4EFBC442"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9,006</w:t>
            </w:r>
          </w:p>
        </w:tc>
        <w:tc>
          <w:tcPr>
            <w:tcW w:w="1338" w:type="dxa"/>
            <w:tcBorders>
              <w:top w:val="single" w:sz="4" w:space="0" w:color="000000"/>
            </w:tcBorders>
            <w:shd w:val="clear" w:color="auto" w:fill="auto"/>
            <w:vAlign w:val="center"/>
          </w:tcPr>
          <w:p w14:paraId="2BA5000E"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3,079</w:t>
            </w:r>
          </w:p>
        </w:tc>
        <w:tc>
          <w:tcPr>
            <w:tcW w:w="1476" w:type="dxa"/>
            <w:tcBorders>
              <w:top w:val="single" w:sz="4" w:space="0" w:color="000000"/>
            </w:tcBorders>
            <w:shd w:val="clear" w:color="auto" w:fill="auto"/>
            <w:vAlign w:val="center"/>
          </w:tcPr>
          <w:p w14:paraId="73FFD806" w14:textId="77777777" w:rsidR="00F14898" w:rsidRDefault="00F14898">
            <w:pPr>
              <w:widowControl w:val="0"/>
              <w:spacing w:after="0" w:line="240" w:lineRule="auto"/>
              <w:jc w:val="right"/>
              <w:rPr>
                <w:rFonts w:ascii="Times New Roman" w:eastAsia="Times New Roman" w:hAnsi="Times New Roman" w:cs="Times New Roman"/>
                <w:sz w:val="24"/>
                <w:szCs w:val="24"/>
              </w:rPr>
            </w:pPr>
          </w:p>
        </w:tc>
        <w:tc>
          <w:tcPr>
            <w:tcW w:w="1030" w:type="dxa"/>
            <w:tcBorders>
              <w:top w:val="single" w:sz="4" w:space="0" w:color="000000"/>
            </w:tcBorders>
            <w:shd w:val="clear" w:color="auto" w:fill="auto"/>
            <w:vAlign w:val="center"/>
          </w:tcPr>
          <w:p w14:paraId="390F4E33"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2,925</w:t>
            </w:r>
          </w:p>
        </w:tc>
        <w:tc>
          <w:tcPr>
            <w:tcW w:w="1030" w:type="dxa"/>
            <w:tcBorders>
              <w:top w:val="single" w:sz="4" w:space="0" w:color="000000"/>
            </w:tcBorders>
            <w:shd w:val="clear" w:color="auto" w:fill="auto"/>
            <w:vAlign w:val="center"/>
          </w:tcPr>
          <w:p w14:paraId="1B37C349"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r>
      <w:tr w:rsidR="00F14898" w14:paraId="0D2DE1C1" w14:textId="77777777">
        <w:trPr>
          <w:cantSplit/>
          <w:jc w:val="center"/>
        </w:trPr>
        <w:tc>
          <w:tcPr>
            <w:tcW w:w="736" w:type="dxa"/>
            <w:vMerge/>
            <w:tcBorders>
              <w:top w:val="single" w:sz="4" w:space="0" w:color="000000"/>
            </w:tcBorders>
            <w:shd w:val="clear" w:color="auto" w:fill="auto"/>
            <w:vAlign w:val="center"/>
          </w:tcPr>
          <w:p w14:paraId="7DDF619B" w14:textId="77777777" w:rsidR="00F14898" w:rsidRDefault="00F14898">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84" w:type="dxa"/>
            <w:tcBorders>
              <w:bottom w:val="single" w:sz="4" w:space="0" w:color="000000"/>
            </w:tcBorders>
            <w:shd w:val="clear" w:color="auto" w:fill="auto"/>
            <w:vAlign w:val="center"/>
          </w:tcPr>
          <w:p w14:paraId="7DB06334" w14:textId="77777777" w:rsidR="00F14898" w:rsidRDefault="0087135B">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338" w:type="dxa"/>
            <w:tcBorders>
              <w:bottom w:val="single" w:sz="4" w:space="0" w:color="000000"/>
            </w:tcBorders>
            <w:shd w:val="clear" w:color="auto" w:fill="auto"/>
            <w:vAlign w:val="center"/>
          </w:tcPr>
          <w:p w14:paraId="72DAB14E"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,778</w:t>
            </w:r>
          </w:p>
        </w:tc>
        <w:tc>
          <w:tcPr>
            <w:tcW w:w="1338" w:type="dxa"/>
            <w:tcBorders>
              <w:bottom w:val="single" w:sz="4" w:space="0" w:color="000000"/>
            </w:tcBorders>
            <w:shd w:val="clear" w:color="auto" w:fill="auto"/>
            <w:vAlign w:val="center"/>
          </w:tcPr>
          <w:p w14:paraId="4AD1016F"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,077</w:t>
            </w:r>
          </w:p>
        </w:tc>
        <w:tc>
          <w:tcPr>
            <w:tcW w:w="1476" w:type="dxa"/>
            <w:tcBorders>
              <w:bottom w:val="single" w:sz="4" w:space="0" w:color="000000"/>
            </w:tcBorders>
            <w:shd w:val="clear" w:color="auto" w:fill="auto"/>
            <w:vAlign w:val="center"/>
          </w:tcPr>
          <w:p w14:paraId="4F30E227"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,728</w:t>
            </w:r>
          </w:p>
        </w:tc>
        <w:tc>
          <w:tcPr>
            <w:tcW w:w="1030" w:type="dxa"/>
            <w:tcBorders>
              <w:bottom w:val="single" w:sz="4" w:space="0" w:color="000000"/>
            </w:tcBorders>
            <w:shd w:val="clear" w:color="auto" w:fill="auto"/>
            <w:vAlign w:val="center"/>
          </w:tcPr>
          <w:p w14:paraId="2160E26A"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10,078</w:t>
            </w:r>
          </w:p>
        </w:tc>
        <w:tc>
          <w:tcPr>
            <w:tcW w:w="1030" w:type="dxa"/>
            <w:tcBorders>
              <w:bottom w:val="single" w:sz="4" w:space="0" w:color="000000"/>
            </w:tcBorders>
            <w:shd w:val="clear" w:color="auto" w:fill="auto"/>
            <w:vAlign w:val="center"/>
          </w:tcPr>
          <w:p w14:paraId="1CDAB3BC" w14:textId="77777777" w:rsidR="00F14898" w:rsidRDefault="0087135B">
            <w:pPr>
              <w:widowControl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r>
      <w:tr w:rsidR="00F14898" w14:paraId="418B35A9" w14:textId="77777777">
        <w:trPr>
          <w:cantSplit/>
          <w:jc w:val="center"/>
        </w:trPr>
        <w:tc>
          <w:tcPr>
            <w:tcW w:w="8132" w:type="dxa"/>
            <w:gridSpan w:val="7"/>
            <w:tcBorders>
              <w:top w:val="single" w:sz="4" w:space="0" w:color="000000"/>
            </w:tcBorders>
            <w:shd w:val="clear" w:color="auto" w:fill="auto"/>
          </w:tcPr>
          <w:p w14:paraId="343A7444" w14:textId="77777777" w:rsidR="00F14898" w:rsidRDefault="0087135B">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Dependent Variable: Y</w:t>
            </w:r>
          </w:p>
        </w:tc>
      </w:tr>
    </w:tbl>
    <w:p w14:paraId="14966FE3" w14:textId="77777777" w:rsidR="00F14898" w:rsidRDefault="0087135B">
      <w:pPr>
        <w:widowControl w:val="0"/>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Sumber: Hasil Pengolahan SPSS 2023</w:t>
      </w:r>
    </w:p>
    <w:p w14:paraId="6A4F029F" w14:textId="77777777" w:rsidR="00F14898" w:rsidRDefault="00F14898">
      <w:pPr>
        <w:widowControl w:val="0"/>
        <w:spacing w:after="0" w:line="240" w:lineRule="auto"/>
        <w:jc w:val="both"/>
        <w:rPr>
          <w:rFonts w:ascii="Times New Roman" w:eastAsia="Times New Roman" w:hAnsi="Times New Roman" w:cs="Times New Roman"/>
          <w:sz w:val="24"/>
          <w:szCs w:val="24"/>
        </w:rPr>
      </w:pPr>
    </w:p>
    <w:p w14:paraId="74247F93"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hasil dari Tabel 7, diperoleh nilai thitung</w:t>
      </w:r>
      <w:r>
        <w:rPr>
          <w:rFonts w:ascii="Times New Roman" w:eastAsia="Times New Roman" w:hAnsi="Times New Roman" w:cs="Times New Roman"/>
          <w:sz w:val="24"/>
          <w:szCs w:val="24"/>
        </w:rPr>
        <w:t xml:space="preserve"> untuk variabel Kualitas Pelayanan sebesar 10,078 dengan nilai signifikansi sebesar 0,000. Nilai thitung ini kemudian dibandingkan dengan nilai ttabel untuk tingkat signifikansi 0,01 dan derajat kebebasan (df) 92-2, yang menghasilkan nilai ttabel sebesar 2</w:t>
      </w:r>
      <w:r>
        <w:rPr>
          <w:rFonts w:ascii="Times New Roman" w:eastAsia="Times New Roman" w:hAnsi="Times New Roman" w:cs="Times New Roman"/>
          <w:sz w:val="24"/>
          <w:szCs w:val="24"/>
        </w:rPr>
        <w:t>,925. Karena nilai thitung (10,078) lebih besar dari nilai ttabel (2,925) dan nilai signifikansi (0,000) lebih kecil dari alpha (0,01), maka hipotesis nol (H0) ditolak dan hipotesis alternatif (H1) diterima. Dengan demikian, dapat disimpulkan bahwa kualita</w:t>
      </w:r>
      <w:r>
        <w:rPr>
          <w:rFonts w:ascii="Times New Roman" w:eastAsia="Times New Roman" w:hAnsi="Times New Roman" w:cs="Times New Roman"/>
          <w:sz w:val="24"/>
          <w:szCs w:val="24"/>
        </w:rPr>
        <w:t>s pelayanan memiliki pengaruh positif dan signifikan terhadap keputusan pembelian konsumen di Indomaret Ahmad Yani Garut. Hasil ini menegaskan bahwa konsumen cenderung lebih condong untuk melakukan pembelian di Indomaret Ahmad Yani Garut ketika mereka mera</w:t>
      </w:r>
      <w:r>
        <w:rPr>
          <w:rFonts w:ascii="Times New Roman" w:eastAsia="Times New Roman" w:hAnsi="Times New Roman" w:cs="Times New Roman"/>
          <w:sz w:val="24"/>
          <w:szCs w:val="24"/>
        </w:rPr>
        <w:t>sakan kualitas pelayanan yang baik. Hal ini memperkuat pentingnya perusahaan untuk terus meningkatkan dan mempertahankan standar kualitas pelayanan guna mengoptimalkan keputusan pembelian konsumen, dalam menghadapi persaingan dalam era modernisasi ritel sa</w:t>
      </w:r>
      <w:r>
        <w:rPr>
          <w:rFonts w:ascii="Times New Roman" w:eastAsia="Times New Roman" w:hAnsi="Times New Roman" w:cs="Times New Roman"/>
          <w:sz w:val="24"/>
          <w:szCs w:val="24"/>
        </w:rPr>
        <w:t>at ini.</w:t>
      </w:r>
    </w:p>
    <w:p w14:paraId="373F273C" w14:textId="77777777" w:rsidR="00F14898" w:rsidRDefault="00F14898">
      <w:pPr>
        <w:widowControl w:val="0"/>
        <w:spacing w:after="120" w:line="240" w:lineRule="auto"/>
        <w:jc w:val="both"/>
        <w:rPr>
          <w:rFonts w:ascii="Times New Roman" w:eastAsia="Times New Roman" w:hAnsi="Times New Roman" w:cs="Times New Roman"/>
          <w:b/>
          <w:smallCaps/>
          <w:sz w:val="24"/>
          <w:szCs w:val="24"/>
        </w:rPr>
      </w:pPr>
    </w:p>
    <w:p w14:paraId="0CD0F3F4" w14:textId="77777777" w:rsidR="00F14898" w:rsidRDefault="0087135B">
      <w:pPr>
        <w:pBdr>
          <w:top w:val="nil"/>
          <w:left w:val="nil"/>
          <w:bottom w:val="nil"/>
          <w:right w:val="nil"/>
          <w:between w:val="nil"/>
        </w:pBdr>
        <w:spacing w:after="12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Pembahasan</w:t>
      </w:r>
    </w:p>
    <w:p w14:paraId="472B923C" w14:textId="77777777" w:rsidR="00F14898" w:rsidRDefault="0087135B">
      <w:pPr>
        <w:pBdr>
          <w:top w:val="nil"/>
          <w:left w:val="nil"/>
          <w:bottom w:val="nil"/>
          <w:right w:val="nil"/>
          <w:between w:val="nil"/>
        </w:pBdr>
        <w:spacing w:after="12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Dampak Kualitas Pelayanan terhadap Keputusan Pembelian di Indomaret Garut dalam Era Modernisasi Ritel</w:t>
      </w:r>
    </w:p>
    <w:p w14:paraId="6D95E348"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Hasil analisis korelasi menunjukkan adanya hubungan yang kuat antara kualitas pelayanan dan keputusan pembelian dengan nilai koefisien sebesar 0,728, yang berada dalam rentang 0,60-0,799, mengindikasikan hubungan kuat antara kedua variabel. Artinya, pening</w:t>
      </w:r>
      <w:r>
        <w:rPr>
          <w:rFonts w:ascii="Times New Roman" w:eastAsia="Times New Roman" w:hAnsi="Times New Roman" w:cs="Times New Roman"/>
          <w:sz w:val="24"/>
          <w:szCs w:val="24"/>
        </w:rPr>
        <w:t>katan kualitas pelayanan secara signifikan akan meningkatkan keputusan pembelian konsumen di Indomaret Ahmad Yani Garut. Analisis koefisien determinasi menunjukkan bahwa kualitas pelayanan memberikan kontribusi sebesar 53% terhadap keputusan pembelian, sem</w:t>
      </w:r>
      <w:r>
        <w:rPr>
          <w:rFonts w:ascii="Times New Roman" w:eastAsia="Times New Roman" w:hAnsi="Times New Roman" w:cs="Times New Roman"/>
          <w:sz w:val="24"/>
          <w:szCs w:val="24"/>
        </w:rPr>
        <w:t>entara sisanya, 47%, dipengaruhi oleh faktor lain seperti harga, fasilitas, dan kualitas produk. Ini menegaskan bahwa meskipun kualitas pelayanan penting, faktor lain juga perlu diperhatikan untuk meningkatkan keputusan pembelian konsumen. Pengujian hipote</w:t>
      </w:r>
      <w:r>
        <w:rPr>
          <w:rFonts w:ascii="Times New Roman" w:eastAsia="Times New Roman" w:hAnsi="Times New Roman" w:cs="Times New Roman"/>
          <w:sz w:val="24"/>
          <w:szCs w:val="24"/>
        </w:rPr>
        <w:t>sis menghasilkan nilai thitung sebesar 10,078, yang lebih besar dari nilai ttabel sebesar 2,925. Nilai signifikansi sebesar 0,000 yang lebih kecil dari alpha 0,01 menandakan bahwa hipotesis nol (H0) ditolak dan hipotesis alternatif (H1) diterima, menunjukk</w:t>
      </w:r>
      <w:r>
        <w:rPr>
          <w:rFonts w:ascii="Times New Roman" w:eastAsia="Times New Roman" w:hAnsi="Times New Roman" w:cs="Times New Roman"/>
          <w:sz w:val="24"/>
          <w:szCs w:val="24"/>
        </w:rPr>
        <w:t xml:space="preserve">an bahwa kualitas pelayanan memiliki pengaruh positif dan signifikan terhadap keputusan pembelian di Indomaret Ahmad Yani Garut. </w:t>
      </w:r>
    </w:p>
    <w:p w14:paraId="2A3D390B"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sejalan dengan berbagai studi terdahulu yang menekankan pentingnya kualitas </w:t>
      </w:r>
      <w:r>
        <w:rPr>
          <w:rFonts w:ascii="Times New Roman" w:eastAsia="Times New Roman" w:hAnsi="Times New Roman" w:cs="Times New Roman"/>
          <w:sz w:val="24"/>
          <w:szCs w:val="24"/>
        </w:rPr>
        <w:lastRenderedPageBreak/>
        <w:t>pelayanan dalam mempengaruhi keputu</w:t>
      </w:r>
      <w:r>
        <w:rPr>
          <w:rFonts w:ascii="Times New Roman" w:eastAsia="Times New Roman" w:hAnsi="Times New Roman" w:cs="Times New Roman"/>
          <w:sz w:val="24"/>
          <w:szCs w:val="24"/>
        </w:rPr>
        <w:t>san pembelian. (Komang Rada &amp; Efriyanti, 2022) menyoroti bahwa promosi dan kualitas pelayanan memiliki pengaruh signifikan terhadap keputusan pembelian, sementara (Maryati &amp; Khoiri.M, 2021) menunjukkan bahwa selain kualitas pelayanan, kualitas produk dan p</w:t>
      </w:r>
      <w:r>
        <w:rPr>
          <w:rFonts w:ascii="Times New Roman" w:eastAsia="Times New Roman" w:hAnsi="Times New Roman" w:cs="Times New Roman"/>
          <w:sz w:val="24"/>
          <w:szCs w:val="24"/>
        </w:rPr>
        <w:t xml:space="preserve">romosi juga merupakan faktor penting. Ini berarti bahwa Indomaret harus mengambil pendekatan holistik yang mencakup berbagai aspek layanan dan produk untuk meningkatkan kepuasan dan keputusan pembelian konsumen. </w:t>
      </w:r>
    </w:p>
    <w:p w14:paraId="09C22674"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Temuan penelitian ini memiliki beberapa imp</w:t>
      </w:r>
      <w:r>
        <w:rPr>
          <w:rFonts w:ascii="Times New Roman" w:eastAsia="Times New Roman" w:hAnsi="Times New Roman" w:cs="Times New Roman"/>
          <w:sz w:val="24"/>
          <w:szCs w:val="24"/>
        </w:rPr>
        <w:t>likasi praktis bagi manajemen Indomaret Ahmad Yani Garut, termasuk peningkatan kualitas pelayanan melalui pelatihan karyawan yang berfokus pada keterampilan layanan pelanggan, peningkatan fasilitas toko untuk menciptakan lingkungan belanja yang nyaman, mem</w:t>
      </w:r>
      <w:r>
        <w:rPr>
          <w:rFonts w:ascii="Times New Roman" w:eastAsia="Times New Roman" w:hAnsi="Times New Roman" w:cs="Times New Roman"/>
          <w:sz w:val="24"/>
          <w:szCs w:val="24"/>
        </w:rPr>
        <w:t>astikan ketersediaan produk berkualitas tinggi, memanfaatkan teknologi untuk meningkatkan efisiensi layanan, dan mengembangkan program loyalitas yang menarik untuk meningkatkan kepuasan dan retensi konsumen.</w:t>
      </w:r>
    </w:p>
    <w:p w14:paraId="7849E03E" w14:textId="77777777" w:rsidR="00F14898" w:rsidRPr="0057108A" w:rsidRDefault="00F14898">
      <w:pPr>
        <w:widowControl w:val="0"/>
        <w:spacing w:after="120" w:line="240" w:lineRule="auto"/>
        <w:jc w:val="both"/>
        <w:rPr>
          <w:rFonts w:ascii="Times New Roman" w:eastAsia="Times New Roman" w:hAnsi="Times New Roman" w:cs="Times New Roman"/>
          <w:b/>
          <w:smallCaps/>
          <w:sz w:val="14"/>
          <w:szCs w:val="14"/>
        </w:rPr>
      </w:pPr>
    </w:p>
    <w:p w14:paraId="452C9BE4"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SIMPULAN DAN SARAN</w:t>
      </w:r>
    </w:p>
    <w:p w14:paraId="5B654CEC"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z w:val="24"/>
          <w:szCs w:val="24"/>
        </w:rPr>
        <w:t>Simpulan</w:t>
      </w:r>
    </w:p>
    <w:p w14:paraId="5844E46E"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Penelitian ini menu</w:t>
      </w:r>
      <w:r>
        <w:rPr>
          <w:rFonts w:ascii="Times New Roman" w:eastAsia="Times New Roman" w:hAnsi="Times New Roman" w:cs="Times New Roman"/>
          <w:sz w:val="24"/>
          <w:szCs w:val="24"/>
        </w:rPr>
        <w:t>njukkan bahwa kualitas pelayanan memiliki pengaruh signifikan terhadap keputusan pembelian konsumen di Indomaret Ahmad Yani Garut. Hubungan yang kuat antara kedua variabel ini menegaskan pentingnya fokus pada peningkatan kualitas pelayanan untuk meningkatk</w:t>
      </w:r>
      <w:r>
        <w:rPr>
          <w:rFonts w:ascii="Times New Roman" w:eastAsia="Times New Roman" w:hAnsi="Times New Roman" w:cs="Times New Roman"/>
          <w:sz w:val="24"/>
          <w:szCs w:val="24"/>
        </w:rPr>
        <w:t>an keputusan pembelian konsumen.</w:t>
      </w:r>
    </w:p>
    <w:p w14:paraId="65FC42F9" w14:textId="77777777" w:rsidR="00F14898" w:rsidRDefault="0087135B">
      <w:pPr>
        <w:widowControl w:val="0"/>
        <w:spacing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Saran</w:t>
      </w:r>
    </w:p>
    <w:p w14:paraId="19A243B2" w14:textId="77777777" w:rsidR="00F14898" w:rsidRDefault="0087135B">
      <w:pPr>
        <w:widowControl w:val="0"/>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era modernisasi ritel yang penuh dengan tantangan, Indomaret Ahmad Yani Garut harus terus berinovasi dan meningkatkan kualitas pelayanan guna mempertahankan relevansi dan daya saingnya di pasar. Beberapa rekomen</w:t>
      </w:r>
      <w:r>
        <w:rPr>
          <w:rFonts w:ascii="Times New Roman" w:eastAsia="Times New Roman" w:hAnsi="Times New Roman" w:cs="Times New Roman"/>
          <w:sz w:val="24"/>
          <w:szCs w:val="24"/>
        </w:rPr>
        <w:t>dasi yang dapat diberikan adalah investasi dalam pelatihan karyawan yang berkelanjutan agar mereka dapat memberikan pelayanan yang lebih baik dan responsif terhadap kebutuhan konsumen. Pemanfaatan teknologi juga menjadi kunci, melalui integrasi teknologi d</w:t>
      </w:r>
      <w:r>
        <w:rPr>
          <w:rFonts w:ascii="Times New Roman" w:eastAsia="Times New Roman" w:hAnsi="Times New Roman" w:cs="Times New Roman"/>
          <w:sz w:val="24"/>
          <w:szCs w:val="24"/>
        </w:rPr>
        <w:t>alam proses layanan untuk meningkatkan efisiensi dan kenyamanan berbelanja. Selain itu, penting untuk melakukan penelitian dan pengembangan secara berkala guna memahami kebutuhan dan preferensi konsumen yang terus berkembang. Meningkatkan program loyalitas</w:t>
      </w:r>
      <w:r>
        <w:rPr>
          <w:rFonts w:ascii="Times New Roman" w:eastAsia="Times New Roman" w:hAnsi="Times New Roman" w:cs="Times New Roman"/>
          <w:sz w:val="24"/>
          <w:szCs w:val="24"/>
        </w:rPr>
        <w:t xml:space="preserve"> dengan menawarkan insentif yang lebih menarik dapat membantu meningkatkan retensi pelanggan dan mendorong pembelian berulang. Kolaborasi dengan pemasok juga krusial untuk memastikan ketersediaan produk berkualitas tinggi. Dengan langkah-langkah strategis </w:t>
      </w:r>
      <w:r>
        <w:rPr>
          <w:rFonts w:ascii="Times New Roman" w:eastAsia="Times New Roman" w:hAnsi="Times New Roman" w:cs="Times New Roman"/>
          <w:sz w:val="24"/>
          <w:szCs w:val="24"/>
        </w:rPr>
        <w:t>yang tepat, Indomaret Ahmad Yani Garut dapat memastikan pertumbuhan yang berkelanjutan dan kepuasan konsumen yang lebih tinggi di masa depan. Penelitian ini memberikan wawasan yang berharga bagi manajemen untuk mengambil keputusan yang lebih baik dan menin</w:t>
      </w:r>
      <w:r>
        <w:rPr>
          <w:rFonts w:ascii="Times New Roman" w:eastAsia="Times New Roman" w:hAnsi="Times New Roman" w:cs="Times New Roman"/>
          <w:sz w:val="24"/>
          <w:szCs w:val="24"/>
        </w:rPr>
        <w:t>gkatkan kualitas pelayanan secara keseluruhan.</w:t>
      </w:r>
    </w:p>
    <w:p w14:paraId="010BB319" w14:textId="77777777" w:rsidR="00F14898" w:rsidRDefault="00F14898">
      <w:pPr>
        <w:widowControl w:val="0"/>
        <w:spacing w:after="120" w:line="240" w:lineRule="auto"/>
        <w:jc w:val="both"/>
        <w:rPr>
          <w:rFonts w:ascii="Times New Roman" w:eastAsia="Times New Roman" w:hAnsi="Times New Roman" w:cs="Times New Roman"/>
          <w:b/>
          <w:smallCaps/>
          <w:sz w:val="24"/>
          <w:szCs w:val="24"/>
        </w:rPr>
      </w:pPr>
    </w:p>
    <w:p w14:paraId="38E278BC" w14:textId="77777777" w:rsidR="00F14898" w:rsidRDefault="0087135B">
      <w:pPr>
        <w:widowControl w:val="0"/>
        <w:spacing w:after="120" w:line="240" w:lineRule="auto"/>
        <w:jc w:val="both"/>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DAFTAR PUSTAKA</w:t>
      </w:r>
    </w:p>
    <w:p w14:paraId="633E960B"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Afnina, A., &amp; Hastuti, Y. (2018). Pengaruh Kualitas Produk terhadap Kepuasan Pelanggan. </w:t>
      </w:r>
      <w:r>
        <w:rPr>
          <w:rFonts w:ascii="Times New Roman" w:eastAsia="Times New Roman" w:hAnsi="Times New Roman" w:cs="Times New Roman"/>
          <w:i/>
          <w:sz w:val="24"/>
          <w:szCs w:val="24"/>
        </w:rPr>
        <w:t>Jurnal Samudra Ekonomi Dan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(1), 21–30. https://doi.org/10.33059/jseb.v9i1.458</w:t>
      </w:r>
    </w:p>
    <w:p w14:paraId="730F0FD1"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Alfiyah, S. (2019). Analisis Kualitas Pelayanan Pada Bisnis Retail ( Studi Kasus Alfamart Maesan Bondowoso ). </w:t>
      </w:r>
      <w:r>
        <w:rPr>
          <w:rFonts w:ascii="Times New Roman" w:eastAsia="Times New Roman" w:hAnsi="Times New Roman" w:cs="Times New Roman"/>
          <w:i/>
          <w:sz w:val="24"/>
          <w:szCs w:val="24"/>
        </w:rPr>
        <w:t>At-Saman</w:t>
      </w:r>
      <w:r>
        <w:rPr>
          <w:rFonts w:ascii="Times New Roman" w:eastAsia="Times New Roman" w:hAnsi="Times New Roman" w:cs="Times New Roman"/>
          <w:sz w:val="24"/>
          <w:szCs w:val="24"/>
        </w:rPr>
        <w:t>, 31–42.</w:t>
      </w:r>
    </w:p>
    <w:p w14:paraId="23DEAD61"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 A., Trisuchon, J., Ayaragarnchanakul, E., Creutzig, F., Javaid, A., Putta</w:t>
      </w:r>
      <w:r>
        <w:rPr>
          <w:rFonts w:ascii="Times New Roman" w:eastAsia="Times New Roman" w:hAnsi="Times New Roman" w:cs="Times New Roman"/>
          <w:sz w:val="24"/>
          <w:szCs w:val="24"/>
        </w:rPr>
        <w:t>napong, N., Tirachini, A., Irawan, M. Z., Belgiawan, P. F., Tarigan, A. K. M., Wijanarko, F., Henao, A., Marshall, W. E., Chalermpong, S., Kato, H., Thaithatkul, P., Ratanawaraha, A., Fillone, A., Hoang-Tung, N., … Chalermpong, S. (2023). TRANSFORMASI RITE</w:t>
      </w:r>
      <w:r>
        <w:rPr>
          <w:rFonts w:ascii="Times New Roman" w:eastAsia="Times New Roman" w:hAnsi="Times New Roman" w:cs="Times New Roman"/>
          <w:sz w:val="24"/>
          <w:szCs w:val="24"/>
        </w:rPr>
        <w:t xml:space="preserve">L: DIGITAL: : SUATU STRATEGI KEBERLANJUTAN BAGI PENINGKATAN KINERJAKEBERLANJUTAN BAGI PENINGKATAN KINERJAKEBERLANJUTAN BAGI PENINGKATAN KINERJA PEMASARAN RITEL MODERNPEMASARAN RITEL MODERNPEMASARA. </w:t>
      </w:r>
      <w:r>
        <w:rPr>
          <w:rFonts w:ascii="Times New Roman" w:eastAsia="Times New Roman" w:hAnsi="Times New Roman" w:cs="Times New Roman"/>
          <w:i/>
          <w:sz w:val="24"/>
          <w:szCs w:val="24"/>
        </w:rPr>
        <w:t>International Journal of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(1), 100950. https://doi.org/10.1016/j.tranpol.2019.01.002%0Ahttps://doi.org/10.1016/j.cstp.2023.100950%0Ahttps://doi.org/10.1016/j.geoforum.2021.04.007%0Ahttps://doi.org/10.1016/j.trd.2021.102816%0Ahttps://doi.org/10.1016/j.tra.2020.03.015%0Ahttps://doi.o</w:t>
      </w:r>
      <w:r>
        <w:rPr>
          <w:rFonts w:ascii="Times New Roman" w:eastAsia="Times New Roman" w:hAnsi="Times New Roman" w:cs="Times New Roman"/>
          <w:sz w:val="24"/>
          <w:szCs w:val="24"/>
        </w:rPr>
        <w:t>rg/10.1016/j.eastsj.20</w:t>
      </w:r>
    </w:p>
    <w:p w14:paraId="30AE1DCF"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Djamin, Z. (2020). Faktor-Faktor Yang Berpengaruh Terhadap Keputusan Pembelian Konsumen Toko Ramona Palembang. </w:t>
      </w:r>
      <w:r>
        <w:rPr>
          <w:rFonts w:ascii="Times New Roman" w:eastAsia="Times New Roman" w:hAnsi="Times New Roman" w:cs="Times New Roman"/>
          <w:i/>
          <w:sz w:val="24"/>
          <w:szCs w:val="24"/>
        </w:rPr>
        <w:t>Jurnal Ilmiah Manajemen Kesatuan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(3), 317–328. https://doi.org/10.37641/jimkes.v8i3.395</w:t>
      </w:r>
    </w:p>
    <w:p w14:paraId="22BA5130"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Fakhrudin, A., &amp; Maria Valeria R</w:t>
      </w:r>
      <w:r>
        <w:rPr>
          <w:rFonts w:ascii="Times New Roman" w:eastAsia="Times New Roman" w:hAnsi="Times New Roman" w:cs="Times New Roman"/>
          <w:sz w:val="24"/>
          <w:szCs w:val="24"/>
        </w:rPr>
        <w:t xml:space="preserve">oellyanti. (2023). Kualitas Produk Dan Kualitas Pelayanan Mempengaruhi Keputusan Pengguna Maskapai. </w:t>
      </w:r>
      <w:r>
        <w:rPr>
          <w:rFonts w:ascii="Times New Roman" w:eastAsia="Times New Roman" w:hAnsi="Times New Roman" w:cs="Times New Roman"/>
          <w:i/>
          <w:sz w:val="24"/>
          <w:szCs w:val="24"/>
        </w:rPr>
        <w:t>Jurnal Manajemen Dirgantara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16</w:t>
      </w:r>
      <w:r>
        <w:rPr>
          <w:rFonts w:ascii="Times New Roman" w:eastAsia="Times New Roman" w:hAnsi="Times New Roman" w:cs="Times New Roman"/>
          <w:sz w:val="24"/>
          <w:szCs w:val="24"/>
        </w:rPr>
        <w:t>(1), 109–119. https://doi.org/10.56521/manajemen-dirgantara.v16i1.919</w:t>
      </w:r>
    </w:p>
    <w:p w14:paraId="60C960BF"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Kenda, O., Fanggidae, A. H. ., Maak, C. S., Salsabila, </w:t>
      </w:r>
      <w:r>
        <w:rPr>
          <w:rFonts w:ascii="Times New Roman" w:eastAsia="Times New Roman" w:hAnsi="Times New Roman" w:cs="Times New Roman"/>
          <w:sz w:val="24"/>
          <w:szCs w:val="24"/>
        </w:rPr>
        <w:t xml:space="preserve">C., Umbara, T., &amp; Setyorini, R. (2022). Analisis Kepuasan Konsumen Terhadap Pembelian Ulang Pada Pabrik Tahu Pink Jaya Di Kota Kupang. </w:t>
      </w:r>
      <w:r>
        <w:rPr>
          <w:rFonts w:ascii="Times New Roman" w:eastAsia="Times New Roman" w:hAnsi="Times New Roman" w:cs="Times New Roman"/>
          <w:i/>
          <w:sz w:val="24"/>
          <w:szCs w:val="24"/>
        </w:rPr>
        <w:t>Jurnal Ekonomi Dan Ilmu Sosial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(4), 668–679. https://ejurnal.undana.ac.id/index.php/glory/article/download/9580/4745</w:t>
      </w:r>
    </w:p>
    <w:p w14:paraId="28917613"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w:t>
      </w:r>
      <w:r>
        <w:rPr>
          <w:rFonts w:ascii="Times New Roman" w:eastAsia="Times New Roman" w:hAnsi="Times New Roman" w:cs="Times New Roman"/>
          <w:sz w:val="24"/>
          <w:szCs w:val="24"/>
        </w:rPr>
        <w:t xml:space="preserve">mang Rada, N., &amp; Efriyanti, F. (2022). Pengaruh Promosi Penjualan Dan Kualitas Pelayanan Terhadap Keputusan Pembelian. </w:t>
      </w:r>
      <w:r>
        <w:rPr>
          <w:rFonts w:ascii="Times New Roman" w:eastAsia="Times New Roman" w:hAnsi="Times New Roman" w:cs="Times New Roman"/>
          <w:i/>
          <w:sz w:val="24"/>
          <w:szCs w:val="24"/>
        </w:rPr>
        <w:t>SIBATIK JOURNAL: Jurnal Ilmiah Bidang Sosial, Ekonomi, Budaya, Teknologi, Dan Pendidikan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(9), 1715–1726. https://doi.org/10.54443/sibat</w:t>
      </w:r>
      <w:r>
        <w:rPr>
          <w:rFonts w:ascii="Times New Roman" w:eastAsia="Times New Roman" w:hAnsi="Times New Roman" w:cs="Times New Roman"/>
          <w:sz w:val="24"/>
          <w:szCs w:val="24"/>
        </w:rPr>
        <w:t>ik.v1i9.229</w:t>
      </w:r>
    </w:p>
    <w:p w14:paraId="6F6B85F3"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Maryati, &amp; Khoiri.M. (2021). Pengaruh Kualitas Produk, Kualitas Pelayanan Dan Promosi Terhadap Keputusan Pembelian Toko Online Time Universe Studio. </w:t>
      </w:r>
      <w:r>
        <w:rPr>
          <w:rFonts w:ascii="Times New Roman" w:eastAsia="Times New Roman" w:hAnsi="Times New Roman" w:cs="Times New Roman"/>
          <w:i/>
          <w:sz w:val="24"/>
          <w:szCs w:val="24"/>
        </w:rPr>
        <w:t>Jurnal Ekonomi Dan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(1), 542–550.</w:t>
      </w:r>
    </w:p>
    <w:p w14:paraId="0AFEAD52"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Nazar, M. R., Oloando, A. T., Putri, M. A., Berri, C</w:t>
      </w:r>
      <w:r>
        <w:rPr>
          <w:rFonts w:ascii="Times New Roman" w:eastAsia="Times New Roman" w:hAnsi="Times New Roman" w:cs="Times New Roman"/>
          <w:sz w:val="24"/>
          <w:szCs w:val="24"/>
        </w:rPr>
        <w:t xml:space="preserve">., &amp; Tazkia, M. (2023). Pengaruh Perkembangan Teknologi terhadap E-Commerce. </w:t>
      </w:r>
      <w:r>
        <w:rPr>
          <w:rFonts w:ascii="Times New Roman" w:eastAsia="Times New Roman" w:hAnsi="Times New Roman" w:cs="Times New Roman"/>
          <w:i/>
          <w:sz w:val="24"/>
          <w:szCs w:val="24"/>
        </w:rPr>
        <w:t>Jurnal Pendidikan Tambusai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1817–1823. https://jptam.org/index.php/jptam/article/view/5492/4603</w:t>
      </w:r>
    </w:p>
    <w:p w14:paraId="674BE7F2"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Panjaitan, W. J., &amp; Lupiana, F. (2023). Penerapan Transformasi Digital dan Ha</w:t>
      </w:r>
      <w:r>
        <w:rPr>
          <w:rFonts w:ascii="Times New Roman" w:eastAsia="Times New Roman" w:hAnsi="Times New Roman" w:cs="Times New Roman"/>
          <w:sz w:val="24"/>
          <w:szCs w:val="24"/>
        </w:rPr>
        <w:t xml:space="preserve">mbatannya Pada Industri Kuliner di Indonesia. </w:t>
      </w:r>
      <w:r>
        <w:rPr>
          <w:rFonts w:ascii="Times New Roman" w:eastAsia="Times New Roman" w:hAnsi="Times New Roman" w:cs="Times New Roman"/>
          <w:i/>
          <w:sz w:val="24"/>
          <w:szCs w:val="24"/>
        </w:rPr>
        <w:t>Riset Manajemen Dan Ekonomi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(2), 278–301. https://doi.org/10.54066/jrime-itb.v1i2.650%0APenerapan</w:t>
      </w:r>
    </w:p>
    <w:p w14:paraId="660E21DA"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Pratama, R., Hanurawan, F., &amp; Shanti, P. (2021). Hubungan Kepuasan Konsumen dengan Keputusan Pembelian di Kafe</w:t>
      </w:r>
      <w:r>
        <w:rPr>
          <w:rFonts w:ascii="Times New Roman" w:eastAsia="Times New Roman" w:hAnsi="Times New Roman" w:cs="Times New Roman"/>
          <w:sz w:val="24"/>
          <w:szCs w:val="24"/>
        </w:rPr>
        <w:t xml:space="preserve"> Warunk14 Kota Malang. </w:t>
      </w:r>
      <w:r>
        <w:rPr>
          <w:rFonts w:ascii="Times New Roman" w:eastAsia="Times New Roman" w:hAnsi="Times New Roman" w:cs="Times New Roman"/>
          <w:i/>
          <w:sz w:val="24"/>
          <w:szCs w:val="24"/>
        </w:rPr>
        <w:t>Flourishing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(4), 315–324. https://doi.org/10.17977/um070v1i42021p315-324</w:t>
      </w:r>
    </w:p>
    <w:p w14:paraId="47359A76"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Pujiwati, M., Dewi, R. S., &amp; Hadi, S. P. (2023). Pengaruh Harga, Kualitas Produk Dan Kualitas Pelayanan Terhadap Keputusan Pembelian Konsumen (Studi P</w:t>
      </w:r>
      <w:r>
        <w:rPr>
          <w:rFonts w:ascii="Times New Roman" w:eastAsia="Times New Roman" w:hAnsi="Times New Roman" w:cs="Times New Roman"/>
          <w:sz w:val="24"/>
          <w:szCs w:val="24"/>
        </w:rPr>
        <w:t xml:space="preserve">ada Konsumen Oasis Bubble Milktea and Dessert Di Kota Magelang). </w:t>
      </w:r>
      <w:r>
        <w:rPr>
          <w:rFonts w:ascii="Times New Roman" w:eastAsia="Times New Roman" w:hAnsi="Times New Roman" w:cs="Times New Roman"/>
          <w:i/>
          <w:sz w:val="24"/>
          <w:szCs w:val="24"/>
        </w:rPr>
        <w:t>Jurnal Ilmu Administrasi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 729–737. https://ejournal3.undip.ac.id/index.php/jiab</w:t>
      </w:r>
    </w:p>
    <w:p w14:paraId="6E737AC7"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Rusdian, S. (2020). </w:t>
      </w:r>
      <w:r>
        <w:rPr>
          <w:rFonts w:ascii="Times New Roman" w:eastAsia="Times New Roman" w:hAnsi="Times New Roman" w:cs="Times New Roman"/>
          <w:i/>
          <w:sz w:val="24"/>
          <w:szCs w:val="24"/>
        </w:rPr>
        <w:t>Pengaruh Bukti Fisik Terhadap Keputusan Pembelian (Studi Pada Ramen Ranjang 6</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w:t>
      </w:r>
    </w:p>
    <w:p w14:paraId="5F3A234B"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Rusdian, S. (2021). PENGARUH DIFERENSIASI PRODUK TERHADAP KEPUTUSAN PEMBELIAN (STUDI PADA ROSEBERRY CAKE SHOP GARUT. </w:t>
      </w:r>
      <w:r>
        <w:rPr>
          <w:rFonts w:ascii="Times New Roman" w:eastAsia="Times New Roman" w:hAnsi="Times New Roman" w:cs="Times New Roman"/>
          <w:i/>
          <w:sz w:val="24"/>
          <w:szCs w:val="24"/>
        </w:rPr>
        <w:t>Jurnal Ekonomi Dan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w:t>
      </w:r>
    </w:p>
    <w:p w14:paraId="5468EFF4"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Sitorus, S. A. (2023). ANALISIS KUALITAS PRODUK DAN PROMOSI TERHADAP LOYALITAS PELANGGAN DENGAN KEPUAS</w:t>
      </w:r>
      <w:r>
        <w:rPr>
          <w:rFonts w:ascii="Times New Roman" w:eastAsia="Times New Roman" w:hAnsi="Times New Roman" w:cs="Times New Roman"/>
          <w:sz w:val="24"/>
          <w:szCs w:val="24"/>
        </w:rPr>
        <w:t xml:space="preserve">AN SEBAGAI VARIABEL INTERVENING PADA PT SHOPEE INDONESIA. </w:t>
      </w:r>
      <w:r>
        <w:rPr>
          <w:rFonts w:ascii="Times New Roman" w:eastAsia="Times New Roman" w:hAnsi="Times New Roman" w:cs="Times New Roman"/>
          <w:i/>
          <w:sz w:val="24"/>
          <w:szCs w:val="24"/>
        </w:rPr>
        <w:t>Journal Business and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11–23.</w:t>
      </w:r>
    </w:p>
    <w:p w14:paraId="58CA3935"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Sugiat, J., Rusdian, S., &amp; Maryani, Y. (2022). Pengaruh Penetapan Harga Produk Terhadap Loyalitas Pelanggan Studi Kasus Pada Pusat Grosir Bandung. </w:t>
      </w:r>
      <w:r>
        <w:rPr>
          <w:rFonts w:ascii="Times New Roman" w:eastAsia="Times New Roman" w:hAnsi="Times New Roman" w:cs="Times New Roman"/>
          <w:i/>
          <w:sz w:val="24"/>
          <w:szCs w:val="24"/>
        </w:rPr>
        <w:t>Eqien</w:t>
      </w:r>
      <w:r>
        <w:rPr>
          <w:rFonts w:ascii="Times New Roman" w:eastAsia="Times New Roman" w:hAnsi="Times New Roman" w:cs="Times New Roman"/>
          <w:i/>
          <w:sz w:val="24"/>
          <w:szCs w:val="24"/>
        </w:rPr>
        <w:t xml:space="preserve"> - Jurnal Ekonomi Dan Bisnis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(04). https://doi.org/10.34308/eqien.v11i04.1296</w:t>
      </w:r>
    </w:p>
    <w:p w14:paraId="610190BA"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Tojiri, Y., &amp; Rusdian, S. (2023). Jurnal Mirai Management Pengaruh Nilai Pelanggan dan Kepercayaan Pelanggan Terhadap Loyalitas Pelanggan Studi Pada Jasa Karunia Tour &amp; Travel</w:t>
      </w:r>
      <w:r>
        <w:rPr>
          <w:rFonts w:ascii="Times New Roman" w:eastAsia="Times New Roman" w:hAnsi="Times New Roman" w:cs="Times New Roman"/>
          <w:sz w:val="24"/>
          <w:szCs w:val="24"/>
        </w:rPr>
        <w:t xml:space="preserve"> Garut. </w:t>
      </w:r>
      <w:r>
        <w:rPr>
          <w:rFonts w:ascii="Times New Roman" w:eastAsia="Times New Roman" w:hAnsi="Times New Roman" w:cs="Times New Roman"/>
          <w:i/>
          <w:sz w:val="24"/>
          <w:szCs w:val="24"/>
        </w:rPr>
        <w:t>Jurnal Mirai Management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(1), 251–264.</w:t>
      </w:r>
    </w:p>
    <w:p w14:paraId="141A0DAF"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Utami, N. S. (2018). Analisa Kinerja Sektor Ritel Indonesia. </w:t>
      </w:r>
      <w:r>
        <w:rPr>
          <w:rFonts w:ascii="Times New Roman" w:eastAsia="Times New Roman" w:hAnsi="Times New Roman" w:cs="Times New Roman"/>
          <w:i/>
          <w:sz w:val="24"/>
          <w:szCs w:val="24"/>
        </w:rPr>
        <w:t>Ecopreneur.12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w:t>
      </w:r>
      <w:r>
        <w:rPr>
          <w:rFonts w:ascii="Times New Roman" w:eastAsia="Times New Roman" w:hAnsi="Times New Roman" w:cs="Times New Roman"/>
          <w:sz w:val="24"/>
          <w:szCs w:val="24"/>
        </w:rPr>
        <w:t>(1), 43. https://doi.org/10.51804/econ12.v1i1.167</w:t>
      </w:r>
    </w:p>
    <w:p w14:paraId="468BAB72" w14:textId="77777777" w:rsidR="00F14898" w:rsidRDefault="0087135B">
      <w:pPr>
        <w:widowControl w:val="0"/>
        <w:spacing w:after="120" w:line="240" w:lineRule="auto"/>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Yusuf Tojiri, Hari Setia Putra, N. F. (2023). </w:t>
      </w:r>
      <w:r>
        <w:rPr>
          <w:rFonts w:ascii="Times New Roman" w:eastAsia="Times New Roman" w:hAnsi="Times New Roman" w:cs="Times New Roman"/>
          <w:i/>
          <w:sz w:val="24"/>
          <w:szCs w:val="24"/>
        </w:rPr>
        <w:t>Dasar Metodologi Penelitian: Teori, Desain, dan Analisis Data</w:t>
      </w:r>
      <w:r>
        <w:rPr>
          <w:rFonts w:ascii="Times New Roman" w:eastAsia="Times New Roman" w:hAnsi="Times New Roman" w:cs="Times New Roman"/>
          <w:sz w:val="24"/>
          <w:szCs w:val="24"/>
        </w:rPr>
        <w:t>.</w:t>
      </w:r>
    </w:p>
    <w:p w14:paraId="773D0914"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B924E35"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36CF3087"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45858CD3"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2F785611"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368A94BB"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D789981"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16A5E652"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581A663"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09D91290"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67A9D5AF"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9777D54"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80FE8C9"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15626F2B"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C4F79BE"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0FFE65E9"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2D986719"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4AB8008D"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0FF9EC3B"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01E84018"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45EF9616"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135D9AC5"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09073AB5" w14:textId="77777777" w:rsidR="00F14898" w:rsidRDefault="00F14898">
      <w:pPr>
        <w:widowControl w:val="0"/>
        <w:spacing w:after="120" w:line="240" w:lineRule="auto"/>
        <w:jc w:val="both"/>
        <w:rPr>
          <w:rFonts w:ascii="Times New Roman" w:eastAsia="Times New Roman" w:hAnsi="Times New Roman" w:cs="Times New Roman"/>
          <w:sz w:val="24"/>
          <w:szCs w:val="24"/>
        </w:rPr>
      </w:pPr>
    </w:p>
    <w:p w14:paraId="7563DBA3" w14:textId="77777777" w:rsidR="00F14898" w:rsidRDefault="00F14898">
      <w:pPr>
        <w:widowControl w:val="0"/>
        <w:spacing w:after="120" w:line="240" w:lineRule="auto"/>
        <w:jc w:val="both"/>
        <w:rPr>
          <w:rFonts w:ascii="Times New Roman" w:eastAsia="Times New Roman" w:hAnsi="Times New Roman" w:cs="Times New Roman"/>
          <w:sz w:val="24"/>
          <w:szCs w:val="24"/>
        </w:rPr>
      </w:pPr>
    </w:p>
    <w:sectPr w:rsidR="00F14898" w:rsidSect="0057108A">
      <w:type w:val="continuous"/>
      <w:pgSz w:w="12240" w:h="15840"/>
      <w:pgMar w:top="1699" w:right="1411" w:bottom="1411" w:left="1411" w:header="720" w:footer="720" w:gutter="0"/>
      <w:pgNumType w:start="37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485F0" w14:textId="77777777" w:rsidR="0087135B" w:rsidRDefault="0087135B">
      <w:pPr>
        <w:spacing w:after="0" w:line="240" w:lineRule="auto"/>
      </w:pPr>
      <w:r>
        <w:separator/>
      </w:r>
    </w:p>
  </w:endnote>
  <w:endnote w:type="continuationSeparator" w:id="0">
    <w:p w14:paraId="5938C65A" w14:textId="77777777" w:rsidR="0087135B" w:rsidRDefault="0087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04B66" w14:textId="77777777" w:rsidR="0057108A" w:rsidRDefault="00571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82D0F" w14:textId="77777777" w:rsidR="0057108A" w:rsidRDefault="00571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7198E" w14:textId="77777777" w:rsidR="0057108A" w:rsidRDefault="00571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A2C64" w14:textId="77777777" w:rsidR="0087135B" w:rsidRDefault="0087135B">
      <w:pPr>
        <w:spacing w:after="0" w:line="240" w:lineRule="auto"/>
      </w:pPr>
      <w:r>
        <w:separator/>
      </w:r>
    </w:p>
  </w:footnote>
  <w:footnote w:type="continuationSeparator" w:id="0">
    <w:p w14:paraId="05E6E883" w14:textId="77777777" w:rsidR="0087135B" w:rsidRDefault="0087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EDD50" w14:textId="434D0524" w:rsidR="0057108A" w:rsidRPr="0057108A" w:rsidRDefault="0057108A" w:rsidP="0057108A">
    <w:pPr>
      <w:tabs>
        <w:tab w:val="center" w:pos="4680"/>
        <w:tab w:val="right" w:pos="9360"/>
      </w:tabs>
      <w:spacing w:after="0" w:line="240" w:lineRule="auto"/>
      <w:rPr>
        <w:rFonts w:ascii="Times New Roman" w:eastAsia="Times New Roman" w:hAnsi="Times New Roman" w:cs="Times New Roman"/>
        <w:color w:val="000000"/>
      </w:rPr>
    </w:pPr>
    <w:r w:rsidRPr="0057108A">
      <w:rPr>
        <w:rFonts w:ascii="Times New Roman" w:eastAsia="Times New Roman" w:hAnsi="Times New Roman" w:cs="Times New Roman"/>
        <w:color w:val="000000"/>
      </w:rPr>
      <w:fldChar w:fldCharType="begin"/>
    </w:r>
    <w:r w:rsidRPr="0057108A">
      <w:rPr>
        <w:rFonts w:ascii="Times New Roman" w:eastAsia="Times New Roman" w:hAnsi="Times New Roman" w:cs="Times New Roman"/>
        <w:color w:val="000000"/>
      </w:rPr>
      <w:instrText>PAGE</w:instrText>
    </w:r>
    <w:r w:rsidRPr="0057108A">
      <w:rPr>
        <w:rFonts w:ascii="Times New Roman" w:eastAsia="Times New Roman" w:hAnsi="Times New Roman" w:cs="Times New Roman"/>
        <w:color w:val="000000"/>
      </w:rPr>
      <w:fldChar w:fldCharType="separate"/>
    </w:r>
    <w:r w:rsidRPr="0057108A">
      <w:rPr>
        <w:rFonts w:ascii="Times New Roman" w:eastAsia="Times New Roman" w:hAnsi="Times New Roman" w:cs="Times New Roman"/>
        <w:color w:val="000000"/>
      </w:rPr>
      <w:t>374</w:t>
    </w:r>
    <w:r w:rsidRPr="0057108A">
      <w:rPr>
        <w:rFonts w:ascii="Times New Roman" w:eastAsia="Times New Roman" w:hAnsi="Times New Roman" w:cs="Times New Roman"/>
        <w:color w:val="000000"/>
      </w:rPr>
      <w:fldChar w:fldCharType="end"/>
    </w:r>
    <w:r w:rsidRPr="0057108A">
      <w:rPr>
        <w:rFonts w:ascii="Times New Roman" w:eastAsia="Times New Roman" w:hAnsi="Times New Roman" w:cs="Times New Roman"/>
        <w:color w:val="000000"/>
      </w:rPr>
      <w:t xml:space="preserve"> – </w:t>
    </w:r>
    <w:r w:rsidRPr="0057108A">
      <w:rPr>
        <w:rFonts w:ascii="Times New Roman" w:eastAsia="Times New Roman" w:hAnsi="Times New Roman" w:cs="Times New Roman"/>
        <w:lang w:val="zh-CN"/>
      </w:rPr>
      <w:t xml:space="preserve">  </w:t>
    </w:r>
    <w:r w:rsidRPr="0057108A">
      <w:rPr>
        <w:rFonts w:ascii="Times New Roman" w:eastAsia="Times New Roman" w:hAnsi="Times New Roman" w:cs="Times New Roman"/>
      </w:rPr>
      <w:t>Taofik Hidayat</w:t>
    </w:r>
    <w:r w:rsidRPr="0057108A">
      <w:rPr>
        <w:rFonts w:ascii="Times New Roman" w:eastAsia="Times New Roman" w:hAnsi="Times New Roman" w:cs="Times New Roman"/>
        <w:color w:val="000000"/>
      </w:rPr>
      <w:t xml:space="preserve">, </w:t>
    </w:r>
    <w:r w:rsidRPr="0057108A">
      <w:rPr>
        <w:rFonts w:ascii="Times New Roman" w:eastAsia="Times New Roman" w:hAnsi="Times New Roman" w:cs="Times New Roman"/>
      </w:rPr>
      <w:t xml:space="preserve">Dampak Kualitas Pelayanan </w:t>
    </w:r>
    <w:r w:rsidRPr="0057108A">
      <w:rPr>
        <w:rFonts w:ascii="Times New Roman" w:eastAsia="Times New Roman" w:hAnsi="Times New Roman" w:cs="Times New Roman"/>
        <w:color w:val="000000"/>
      </w:rPr>
      <w:t>…</w:t>
    </w:r>
  </w:p>
  <w:p w14:paraId="6B54C420" w14:textId="77777777" w:rsidR="0057108A" w:rsidRDefault="00571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7DC3B" w14:textId="77777777" w:rsidR="0057108A" w:rsidRPr="009F0329" w:rsidRDefault="0057108A" w:rsidP="0057108A">
    <w:pPr>
      <w:tabs>
        <w:tab w:val="center" w:pos="4680"/>
        <w:tab w:val="right" w:pos="9360"/>
      </w:tabs>
      <w:spacing w:after="0" w:line="240" w:lineRule="auto"/>
      <w:jc w:val="right"/>
      <w:rPr>
        <w:rFonts w:ascii="Times New Roman" w:eastAsia="Times New Roman" w:hAnsi="Times New Roman" w:cs="Times New Roman"/>
        <w:color w:val="000000"/>
      </w:rPr>
    </w:pPr>
    <w:bookmarkStart w:id="2" w:name="_GoBack"/>
    <w:bookmarkEnd w:id="2"/>
    <w:r w:rsidRPr="009F0329">
      <w:rPr>
        <w:rFonts w:ascii="Times New Roman" w:eastAsia="Times New Roman" w:hAnsi="Times New Roman" w:cs="Times New Roman"/>
        <w:color w:val="000000"/>
      </w:rPr>
      <w:t xml:space="preserve">Vol. 15 No. 2, 2024 --  </w:t>
    </w:r>
    <w:r w:rsidRPr="009F0329">
      <w:rPr>
        <w:rFonts w:ascii="Times New Roman" w:eastAsia="Times New Roman" w:hAnsi="Times New Roman" w:cs="Times New Roman"/>
        <w:color w:val="000000"/>
      </w:rPr>
      <w:fldChar w:fldCharType="begin"/>
    </w:r>
    <w:r w:rsidRPr="009F0329">
      <w:rPr>
        <w:rFonts w:ascii="Times New Roman" w:eastAsia="Times New Roman" w:hAnsi="Times New Roman" w:cs="Times New Roman"/>
        <w:color w:val="000000"/>
      </w:rPr>
      <w:instrText>PAGE</w:instrText>
    </w:r>
    <w:r w:rsidRPr="009F0329">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375</w:t>
    </w:r>
    <w:r w:rsidRPr="009F0329">
      <w:rPr>
        <w:rFonts w:ascii="Times New Roman" w:eastAsia="Times New Roman" w:hAnsi="Times New Roman" w:cs="Times New Roman"/>
        <w:color w:val="000000"/>
      </w:rPr>
      <w:fldChar w:fldCharType="end"/>
    </w:r>
  </w:p>
  <w:p w14:paraId="79576508" w14:textId="77777777" w:rsidR="00F14898" w:rsidRDefault="00F14898" w:rsidP="0057108A">
    <w:pPr>
      <w:keepNext/>
      <w:keepLines/>
      <w:spacing w:after="0" w:line="240" w:lineRule="auto"/>
      <w:jc w:val="right"/>
      <w:rPr>
        <w:rFonts w:ascii="Century" w:eastAsia="Century" w:hAnsi="Century" w:cs="Century"/>
        <w:b/>
        <w:sz w:val="24"/>
        <w:szCs w:val="24"/>
      </w:rPr>
    </w:pPr>
  </w:p>
  <w:p w14:paraId="28CBEF0D" w14:textId="77777777" w:rsidR="00F14898" w:rsidRDefault="00F14898">
    <w:pPr>
      <w:keepNext/>
      <w:keepLines/>
      <w:spacing w:after="0" w:line="240" w:lineRule="auto"/>
      <w:rPr>
        <w:rFonts w:ascii="Century" w:eastAsia="Century" w:hAnsi="Century" w:cs="Century"/>
        <w:b/>
        <w:sz w:val="24"/>
        <w:szCs w:val="24"/>
      </w:rPr>
    </w:pPr>
  </w:p>
  <w:p w14:paraId="329E850A" w14:textId="77777777" w:rsidR="00F14898" w:rsidRDefault="0087135B">
    <w:pPr>
      <w:pBdr>
        <w:top w:val="nil"/>
        <w:left w:val="nil"/>
        <w:bottom w:val="nil"/>
        <w:right w:val="nil"/>
        <w:between w:val="nil"/>
      </w:pBdr>
      <w:tabs>
        <w:tab w:val="center" w:pos="4680"/>
        <w:tab w:val="right" w:pos="9360"/>
      </w:tabs>
      <w:spacing w:after="0" w:line="240" w:lineRule="auto"/>
      <w:rPr>
        <w:rFonts w:ascii="Bell MT" w:eastAsia="Bell MT" w:hAnsi="Bell MT" w:cs="Bell MT"/>
        <w:color w:val="000000"/>
        <w:sz w:val="24"/>
        <w:szCs w:val="24"/>
      </w:rPr>
    </w:pPr>
    <w:r>
      <w:rPr>
        <w:rFonts w:ascii="Bell MT" w:eastAsia="Bell MT" w:hAnsi="Bell MT" w:cs="Bell MT"/>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E1865" w14:textId="77777777" w:rsidR="0057108A" w:rsidRDefault="00571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898"/>
    <w:rsid w:val="00326676"/>
    <w:rsid w:val="0057108A"/>
    <w:rsid w:val="0087135B"/>
    <w:rsid w:val="00A5601A"/>
    <w:rsid w:val="00F1489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B2A3"/>
  <w15:docId w15:val="{A74E46D7-BB2C-4AEC-B618-0CB52294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47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7CA"/>
    <w:rPr>
      <w:rFonts w:ascii="Tahoma" w:hAnsi="Tahoma" w:cs="Tahoma"/>
      <w:sz w:val="16"/>
      <w:szCs w:val="16"/>
    </w:rPr>
  </w:style>
  <w:style w:type="paragraph" w:styleId="NoSpacing">
    <w:name w:val="No Spacing"/>
    <w:uiPriority w:val="1"/>
    <w:qFormat/>
    <w:rsid w:val="00CE2E37"/>
    <w:pPr>
      <w:spacing w:after="0" w:line="240" w:lineRule="auto"/>
    </w:p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6" w:type="dxa"/>
        <w:left w:w="115" w:type="dxa"/>
        <w:right w:w="48" w:type="dxa"/>
      </w:tblCellMar>
    </w:tblPr>
  </w:style>
  <w:style w:type="table" w:customStyle="1" w:styleId="a8">
    <w:basedOn w:val="TableNormal"/>
    <w:tblPr>
      <w:tblStyleRowBandSize w:val="1"/>
      <w:tblStyleColBandSize w:val="1"/>
      <w:tblCellMar>
        <w:top w:w="7" w:type="dxa"/>
        <w:left w:w="115" w:type="dxa"/>
        <w:right w:w="46" w:type="dxa"/>
      </w:tblCellMar>
    </w:tblPr>
  </w:style>
  <w:style w:type="table" w:customStyle="1" w:styleId="a9">
    <w:basedOn w:val="TableNormal"/>
    <w:tblPr>
      <w:tblStyleRowBandSize w:val="1"/>
      <w:tblStyleColBandSize w:val="1"/>
      <w:tblCellMar>
        <w:top w:w="6" w:type="dxa"/>
        <w:left w:w="115" w:type="dxa"/>
        <w:right w:w="48" w:type="dxa"/>
      </w:tblCellMar>
    </w:tblPr>
  </w:style>
  <w:style w:type="table" w:customStyle="1" w:styleId="aa">
    <w:basedOn w:val="TableNormal"/>
    <w:tblPr>
      <w:tblStyleRowBandSize w:val="1"/>
      <w:tblStyleColBandSize w:val="1"/>
      <w:tblCellMar>
        <w:top w:w="7" w:type="dxa"/>
        <w:left w:w="125" w:type="dxa"/>
        <w:right w:w="48"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paragraph" w:styleId="Header">
    <w:name w:val="header"/>
    <w:basedOn w:val="Normal"/>
    <w:link w:val="HeaderChar"/>
    <w:uiPriority w:val="99"/>
    <w:unhideWhenUsed/>
    <w:rsid w:val="00571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108A"/>
  </w:style>
  <w:style w:type="paragraph" w:styleId="Footer">
    <w:name w:val="footer"/>
    <w:basedOn w:val="Normal"/>
    <w:link w:val="FooterChar"/>
    <w:uiPriority w:val="99"/>
    <w:unhideWhenUsed/>
    <w:rsid w:val="00571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jD8Vec+hkBa53deDKLoiIViXrQ==">CgMxLjAyCGguZ2pkZ3hzMgloLjMwajB6bGwyCWguMWZvYjl0ZTIJaC4zem55c2g3MgloLjJldDkycDAyCGgudHlqY3d0MgloLjNkeTZ2a20yCWguMXQzaDVzZjgAciExSmtCbWxjeGd6T1c5VFpRZU9HYXQ1ci1yVk1zM3ctS2c=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4085</Words>
  <Characters>23289</Characters>
  <Application>Microsoft Office Word</Application>
  <DocSecurity>0</DocSecurity>
  <Lines>194</Lines>
  <Paragraphs>54</Paragraphs>
  <ScaleCrop>false</ScaleCrop>
  <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Ideacentre</cp:lastModifiedBy>
  <cp:revision>4</cp:revision>
  <dcterms:created xsi:type="dcterms:W3CDTF">2024-07-02T05:03:00Z</dcterms:created>
  <dcterms:modified xsi:type="dcterms:W3CDTF">2024-07-02T05:15:00Z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7575a36c-1c1e-3f4b-9373-31045073c119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